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1134" w:type="dxa"/>
        <w:tblLook w:val="01E0" w:firstRow="1" w:lastRow="1" w:firstColumn="1" w:lastColumn="1" w:noHBand="0" w:noVBand="0"/>
      </w:tblPr>
      <w:tblGrid>
        <w:gridCol w:w="5245"/>
        <w:gridCol w:w="5670"/>
      </w:tblGrid>
      <w:tr w:rsidR="000954EF" w:rsidRPr="000954EF" w14:paraId="08D1D649" w14:textId="77777777" w:rsidTr="00F36F7C">
        <w:tc>
          <w:tcPr>
            <w:tcW w:w="5245" w:type="dxa"/>
          </w:tcPr>
          <w:p w14:paraId="6CFD73D9" w14:textId="77777777" w:rsidR="00EC164E" w:rsidRPr="00164C6D" w:rsidRDefault="0039412A" w:rsidP="00EC164E">
            <w:pPr>
              <w:rPr>
                <w:sz w:val="26"/>
                <w:szCs w:val="26"/>
                <w:lang w:val="nl-NL"/>
              </w:rPr>
            </w:pPr>
            <w:r w:rsidRPr="000954EF">
              <w:rPr>
                <w:spacing w:val="-4"/>
              </w:rPr>
              <w:br w:type="page"/>
            </w:r>
            <w:r w:rsidR="00EC164E" w:rsidRPr="00164C6D">
              <w:rPr>
                <w:sz w:val="26"/>
                <w:szCs w:val="26"/>
                <w:lang w:val="nl-NL"/>
              </w:rPr>
              <w:t>UBND TỈNH TUYÊN QUANG</w:t>
            </w:r>
          </w:p>
          <w:p w14:paraId="5252316F" w14:textId="77777777" w:rsidR="00EC164E" w:rsidRPr="00164C6D" w:rsidRDefault="00EC164E" w:rsidP="00EC164E">
            <w:pPr>
              <w:rPr>
                <w:sz w:val="26"/>
                <w:szCs w:val="26"/>
                <w:lang w:val="nl-NL"/>
              </w:rPr>
            </w:pPr>
            <w:r w:rsidRPr="00164C6D">
              <w:rPr>
                <w:b/>
                <w:sz w:val="26"/>
                <w:szCs w:val="26"/>
                <w:lang w:val="nl-NL"/>
              </w:rPr>
              <w:t>SỞ V</w:t>
            </w:r>
            <w:r w:rsidRPr="00164C6D">
              <w:rPr>
                <w:rFonts w:hint="eastAsia"/>
                <w:b/>
                <w:sz w:val="26"/>
                <w:szCs w:val="26"/>
                <w:lang w:val="nl-NL"/>
              </w:rPr>
              <w:t>Ă</w:t>
            </w:r>
            <w:r w:rsidRPr="00164C6D">
              <w:rPr>
                <w:b/>
                <w:sz w:val="26"/>
                <w:szCs w:val="26"/>
                <w:lang w:val="nl-NL"/>
              </w:rPr>
              <w:t>N HOÁ</w:t>
            </w:r>
            <w:r>
              <w:rPr>
                <w:b/>
                <w:sz w:val="26"/>
                <w:szCs w:val="26"/>
                <w:lang w:val="nl-NL"/>
              </w:rPr>
              <w:t>,</w:t>
            </w:r>
            <w:r w:rsidRPr="00164C6D">
              <w:rPr>
                <w:b/>
                <w:sz w:val="26"/>
                <w:szCs w:val="26"/>
                <w:lang w:val="nl-NL"/>
              </w:rPr>
              <w:t xml:space="preserve"> THỂ THAO</w:t>
            </w:r>
          </w:p>
          <w:p w14:paraId="518FAF03" w14:textId="365A4114" w:rsidR="0039412A" w:rsidRPr="00EC164E" w:rsidRDefault="00F36F7C" w:rsidP="00E94AAA">
            <w:pPr>
              <w:rPr>
                <w:b/>
                <w:sz w:val="26"/>
                <w:szCs w:val="26"/>
                <w:lang w:val="nl-NL"/>
              </w:rPr>
            </w:pPr>
            <w:r>
              <w:rPr>
                <w:noProof/>
                <w:spacing w:val="-10"/>
                <w14:ligatures w14:val="standardContextual"/>
              </w:rPr>
              <mc:AlternateContent>
                <mc:Choice Requires="wps">
                  <w:drawing>
                    <wp:anchor distT="0" distB="0" distL="114300" distR="114300" simplePos="0" relativeHeight="251661312" behindDoc="0" locked="0" layoutInCell="1" allowOverlap="1" wp14:anchorId="235D52F3" wp14:editId="1E31620D">
                      <wp:simplePos x="0" y="0"/>
                      <wp:positionH relativeFrom="column">
                        <wp:posOffset>1209675</wp:posOffset>
                      </wp:positionH>
                      <wp:positionV relativeFrom="paragraph">
                        <wp:posOffset>224790</wp:posOffset>
                      </wp:positionV>
                      <wp:extent cx="790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71D2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5.25pt,17.7pt" to="15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" strokecolor="black [3200]" strokeweight=".5pt">
                      <v:stroke joinstyle="miter"/>
                    </v:line>
                  </w:pict>
                </mc:Fallback>
              </mc:AlternateContent>
            </w:r>
            <w:r w:rsidR="00EC164E" w:rsidRPr="00164C6D">
              <w:rPr>
                <w:b/>
                <w:sz w:val="26"/>
                <w:szCs w:val="26"/>
                <w:lang w:val="nl-NL"/>
              </w:rPr>
              <w:t>VÀ DU LỊCH</w:t>
            </w:r>
          </w:p>
        </w:tc>
        <w:tc>
          <w:tcPr>
            <w:tcW w:w="5670" w:type="dxa"/>
          </w:tcPr>
          <w:p w14:paraId="1039E8EC" w14:textId="77777777" w:rsidR="0039412A" w:rsidRPr="000954EF" w:rsidRDefault="0039412A" w:rsidP="00E94AAA">
            <w:pPr>
              <w:rPr>
                <w:rFonts w:ascii="Times New Roman Bold" w:hAnsi="Times New Roman Bold"/>
                <w:b/>
                <w:sz w:val="26"/>
              </w:rPr>
            </w:pPr>
            <w:r w:rsidRPr="000954EF">
              <w:rPr>
                <w:rFonts w:ascii="Times New Roman Bold" w:hAnsi="Times New Roman Bold"/>
                <w:b/>
                <w:sz w:val="26"/>
              </w:rPr>
              <w:t xml:space="preserve">CỘNG HÒA XÃ HỘI CHỦ NGHĨA VIỆT </w:t>
            </w:r>
            <w:smartTag w:uri="urn:schemas-microsoft-com:office:smarttags" w:element="place">
              <w:smartTag w:uri="urn:schemas-microsoft-com:office:smarttags" w:element="country-region">
                <w:r w:rsidRPr="000954EF">
                  <w:rPr>
                    <w:rFonts w:ascii="Times New Roman Bold" w:hAnsi="Times New Roman Bold"/>
                    <w:b/>
                    <w:sz w:val="26"/>
                  </w:rPr>
                  <w:t>NAM</w:t>
                </w:r>
              </w:smartTag>
            </w:smartTag>
          </w:p>
          <w:p w14:paraId="18A96F9E" w14:textId="77777777" w:rsidR="0039412A" w:rsidRPr="000954EF" w:rsidRDefault="0039412A" w:rsidP="00E94AAA">
            <w:pPr>
              <w:rPr>
                <w:b/>
                <w:spacing w:val="-10"/>
              </w:rPr>
            </w:pPr>
            <w:r w:rsidRPr="000954EF">
              <w:rPr>
                <w:b/>
                <w:spacing w:val="-10"/>
              </w:rPr>
              <w:t>Độc lập - Tự do - Hạnh phúc</w:t>
            </w:r>
          </w:p>
          <w:p w14:paraId="372BB79F" w14:textId="77777777" w:rsidR="0039412A" w:rsidRPr="000954EF" w:rsidRDefault="0039412A" w:rsidP="00E94AAA">
            <w:pPr>
              <w:rPr>
                <w:b/>
              </w:rPr>
            </w:pPr>
            <w:r w:rsidRPr="000954EF">
              <w:rPr>
                <w:b/>
                <w:noProof/>
                <w:lang w:val="vi-VN" w:eastAsia="vi-VN"/>
              </w:rPr>
              <mc:AlternateContent>
                <mc:Choice Requires="wps">
                  <w:drawing>
                    <wp:anchor distT="4294967294" distB="4294967294" distL="114300" distR="114300" simplePos="0" relativeHeight="251658240" behindDoc="0" locked="0" layoutInCell="1" allowOverlap="1" wp14:anchorId="51DBEA4C" wp14:editId="7CB850C1">
                      <wp:simplePos x="0" y="0"/>
                      <wp:positionH relativeFrom="column">
                        <wp:posOffset>720564</wp:posOffset>
                      </wp:positionH>
                      <wp:positionV relativeFrom="paragraph">
                        <wp:posOffset>25400</wp:posOffset>
                      </wp:positionV>
                      <wp:extent cx="201866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112720C"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5pt,2pt" to="21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"/>
                  </w:pict>
                </mc:Fallback>
              </mc:AlternateContent>
            </w:r>
          </w:p>
          <w:p w14:paraId="23302395" w14:textId="41CC6B8F" w:rsidR="0039412A" w:rsidRPr="000954EF" w:rsidRDefault="0039412A" w:rsidP="00E94AAA">
            <w:pPr>
              <w:rPr>
                <w:i/>
              </w:rPr>
            </w:pPr>
          </w:p>
        </w:tc>
      </w:tr>
      <w:tr w:rsidR="00EC164E" w:rsidRPr="000954EF" w14:paraId="77BCD6F3" w14:textId="77777777" w:rsidTr="00F36F7C">
        <w:tc>
          <w:tcPr>
            <w:tcW w:w="5245" w:type="dxa"/>
          </w:tcPr>
          <w:p w14:paraId="5B302F54" w14:textId="77777777" w:rsidR="00EC164E" w:rsidRPr="00EC164E" w:rsidRDefault="00EC164E" w:rsidP="00EC164E">
            <w:pPr>
              <w:rPr>
                <w:spacing w:val="-4"/>
                <w:sz w:val="26"/>
                <w:szCs w:val="26"/>
              </w:rPr>
            </w:pPr>
            <w:r w:rsidRPr="00EC164E">
              <w:rPr>
                <w:spacing w:val="-4"/>
                <w:sz w:val="26"/>
                <w:szCs w:val="26"/>
              </w:rPr>
              <w:t>Số:         /TTr-SVHTTDL</w:t>
            </w:r>
          </w:p>
          <w:p w14:paraId="4AE3F7D3" w14:textId="77777777" w:rsidR="00EC164E" w:rsidRPr="000954EF" w:rsidRDefault="00EC164E" w:rsidP="00EC164E">
            <w:pPr>
              <w:rPr>
                <w:spacing w:val="-4"/>
              </w:rPr>
            </w:pPr>
          </w:p>
        </w:tc>
        <w:tc>
          <w:tcPr>
            <w:tcW w:w="5670" w:type="dxa"/>
          </w:tcPr>
          <w:p w14:paraId="26A73584" w14:textId="0227852D" w:rsidR="00EC164E" w:rsidRPr="000954EF" w:rsidRDefault="00EC164E" w:rsidP="00E94AAA">
            <w:pPr>
              <w:rPr>
                <w:rFonts w:ascii="Times New Roman Bold" w:hAnsi="Times New Roman Bold"/>
                <w:b/>
                <w:sz w:val="26"/>
              </w:rPr>
            </w:pPr>
            <w:r w:rsidRPr="000954EF">
              <w:rPr>
                <w:i/>
              </w:rPr>
              <w:t>Tuyên Quang, ngày       tháng</w:t>
            </w:r>
            <w:r>
              <w:rPr>
                <w:i/>
              </w:rPr>
              <w:t xml:space="preserve"> 4 </w:t>
            </w:r>
            <w:r w:rsidRPr="000954EF">
              <w:rPr>
                <w:i/>
              </w:rPr>
              <w:t>năm 202</w:t>
            </w:r>
            <w:r>
              <w:rPr>
                <w:i/>
              </w:rPr>
              <w:t>6</w:t>
            </w:r>
          </w:p>
        </w:tc>
      </w:tr>
    </w:tbl>
    <w:p w14:paraId="4A9EC738" w14:textId="77777777" w:rsidR="00F36F7C" w:rsidRDefault="00F36F7C">
      <w:pPr>
        <w:rPr>
          <w:b/>
          <w:bCs/>
        </w:rPr>
      </w:pPr>
    </w:p>
    <w:p w14:paraId="7516691C" w14:textId="29A218D1" w:rsidR="003C25C8" w:rsidRPr="000954EF" w:rsidRDefault="001219C0">
      <w:pPr>
        <w:rPr>
          <w:b/>
          <w:bCs/>
        </w:rPr>
      </w:pPr>
      <w:r w:rsidRPr="000954EF">
        <w:rPr>
          <w:b/>
          <w:bCs/>
        </w:rPr>
        <w:t xml:space="preserve">TỜ TRÌNH </w:t>
      </w:r>
    </w:p>
    <w:p w14:paraId="32DBAA2B" w14:textId="77777777" w:rsidR="00F935A0" w:rsidRDefault="008C7047" w:rsidP="00F51298">
      <w:pPr>
        <w:rPr>
          <w:b/>
          <w:bCs/>
        </w:rPr>
      </w:pPr>
      <w:r w:rsidRPr="00F935A0">
        <w:rPr>
          <w:b/>
          <w:bCs/>
        </w:rPr>
        <w:t>Dự thảo Quyết định</w:t>
      </w:r>
      <w:r w:rsidR="001219C0" w:rsidRPr="00F935A0">
        <w:rPr>
          <w:b/>
          <w:bCs/>
        </w:rPr>
        <w:t xml:space="preserve"> </w:t>
      </w:r>
      <w:r w:rsidR="001219C0" w:rsidRPr="000954EF">
        <w:rPr>
          <w:b/>
          <w:bCs/>
        </w:rPr>
        <w:t xml:space="preserve">ban hành </w:t>
      </w:r>
      <w:r w:rsidR="00F51298" w:rsidRPr="00F51298">
        <w:rPr>
          <w:b/>
          <w:bCs/>
        </w:rPr>
        <w:t>Quy chế quản lý, bảo vệ và phát huy giá trị</w:t>
      </w:r>
    </w:p>
    <w:p w14:paraId="3B6905A4" w14:textId="77777777" w:rsidR="00F935A0" w:rsidRDefault="00F51298" w:rsidP="00F51298">
      <w:pPr>
        <w:rPr>
          <w:b/>
          <w:bCs/>
        </w:rPr>
      </w:pPr>
      <w:r w:rsidRPr="00F51298">
        <w:rPr>
          <w:b/>
          <w:bCs/>
        </w:rPr>
        <w:t xml:space="preserve"> di tích lịch sử - văn hóa, danh lam thắng cảnh, </w:t>
      </w:r>
      <w:bookmarkStart w:id="0" w:name="_Hlk223619684"/>
      <w:r w:rsidRPr="00F51298">
        <w:rPr>
          <w:b/>
          <w:bCs/>
        </w:rPr>
        <w:t>di vật, cổ vật,</w:t>
      </w:r>
    </w:p>
    <w:p w14:paraId="53FD520A" w14:textId="5626E535" w:rsidR="00F51298" w:rsidRPr="00F51298" w:rsidRDefault="00F51298" w:rsidP="00F51298">
      <w:pPr>
        <w:rPr>
          <w:b/>
          <w:bCs/>
        </w:rPr>
      </w:pPr>
      <w:r w:rsidRPr="00F51298">
        <w:rPr>
          <w:b/>
          <w:bCs/>
        </w:rPr>
        <w:t xml:space="preserve"> bảo vật quốc gia</w:t>
      </w:r>
      <w:bookmarkEnd w:id="0"/>
      <w:r w:rsidR="00F935A0">
        <w:rPr>
          <w:b/>
          <w:bCs/>
        </w:rPr>
        <w:t xml:space="preserve"> </w:t>
      </w:r>
      <w:r w:rsidRPr="00F51298">
        <w:rPr>
          <w:b/>
          <w:bCs/>
        </w:rPr>
        <w:t>trên địa bàn tỉnh Tuyên Quang</w:t>
      </w:r>
    </w:p>
    <w:p w14:paraId="0EAE00CB" w14:textId="3841207A" w:rsidR="001219C0" w:rsidRPr="000954EF" w:rsidRDefault="00030A19" w:rsidP="00F51298">
      <w:pPr>
        <w:rPr>
          <w:b/>
          <w:bCs/>
        </w:rPr>
      </w:pPr>
      <w:r w:rsidRPr="000954EF">
        <w:rPr>
          <w:b/>
          <w:bCs/>
          <w:noProof/>
          <w14:ligatures w14:val="standardContextual"/>
        </w:rPr>
        <mc:AlternateContent>
          <mc:Choice Requires="wps">
            <w:drawing>
              <wp:anchor distT="0" distB="0" distL="114300" distR="114300" simplePos="0" relativeHeight="251660288" behindDoc="0" locked="0" layoutInCell="1" allowOverlap="1" wp14:anchorId="45FEF293" wp14:editId="60F062F9">
                <wp:simplePos x="0" y="0"/>
                <wp:positionH relativeFrom="column">
                  <wp:posOffset>2197735</wp:posOffset>
                </wp:positionH>
                <wp:positionV relativeFrom="paragraph">
                  <wp:posOffset>61595</wp:posOffset>
                </wp:positionV>
                <wp:extent cx="1733266" cy="0"/>
                <wp:effectExtent l="0" t="0" r="0" b="0"/>
                <wp:wrapNone/>
                <wp:docPr id="199103389" name="Straight Connector 6"/>
                <wp:cNvGraphicFramePr/>
                <a:graphic xmlns:a="http://schemas.openxmlformats.org/drawingml/2006/main">
                  <a:graphicData uri="http://schemas.microsoft.com/office/word/2010/wordprocessingShape">
                    <wps:wsp>
                      <wps:cNvCnPr/>
                      <wps:spPr>
                        <a:xfrm>
                          <a:off x="0" y="0"/>
                          <a:ext cx="17332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8217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3.05pt,4.85pt" to="309.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" strokecolor="black [3213]" strokeweight=".5pt">
                <v:stroke joinstyle="miter"/>
              </v:line>
            </w:pict>
          </mc:Fallback>
        </mc:AlternateContent>
      </w:r>
    </w:p>
    <w:p w14:paraId="12F42172" w14:textId="77777777" w:rsidR="00F51298" w:rsidRDefault="00F51298" w:rsidP="00511E46"/>
    <w:p w14:paraId="44611EB3" w14:textId="4DB36886" w:rsidR="00511E46" w:rsidRDefault="00511E46" w:rsidP="00511E46">
      <w:r w:rsidRPr="000954EF">
        <w:t xml:space="preserve">Kính gửi: </w:t>
      </w:r>
      <w:r w:rsidR="008C7047">
        <w:t>Uỷ ban nhân dân tỉnh</w:t>
      </w:r>
    </w:p>
    <w:p w14:paraId="76BDC234" w14:textId="77777777" w:rsidR="006C0120" w:rsidRPr="000954EF" w:rsidRDefault="006C0120" w:rsidP="00511E46"/>
    <w:p w14:paraId="5CE38048" w14:textId="77777777" w:rsidR="00086A9A" w:rsidRPr="000954EF" w:rsidRDefault="00086A9A" w:rsidP="00086A9A">
      <w:pPr>
        <w:ind w:firstLine="720"/>
        <w:jc w:val="both"/>
      </w:pPr>
    </w:p>
    <w:p w14:paraId="3468D7A7" w14:textId="7939477D" w:rsidR="00B076C6" w:rsidRPr="00972297" w:rsidRDefault="00086A9A" w:rsidP="004B137A">
      <w:pPr>
        <w:spacing w:before="60" w:after="60"/>
        <w:ind w:firstLine="720"/>
        <w:jc w:val="both"/>
        <w:rPr>
          <w:color w:val="FF0000"/>
        </w:rPr>
      </w:pPr>
      <w:r w:rsidRPr="00972297">
        <w:t>Thực hiện các quy định của Luật ban hành văn bản quy phạm pháp luật</w:t>
      </w:r>
      <w:r w:rsidR="008C7047" w:rsidRPr="00972297">
        <w:t xml:space="preserve">, </w:t>
      </w:r>
      <w:r w:rsidRPr="00972297">
        <w:t xml:space="preserve">Sở Văn hóa, Thể thao và Du lịch kính trình Ủy ban nhân dân tỉnh </w:t>
      </w:r>
      <w:r w:rsidR="00BC2580" w:rsidRPr="00972297">
        <w:t xml:space="preserve">dự thảo Quyết định </w:t>
      </w:r>
      <w:r w:rsidRPr="00972297">
        <w:t xml:space="preserve">ban hành Quy chế </w:t>
      </w:r>
      <w:bookmarkStart w:id="1" w:name="_Hlk224221360"/>
      <w:r w:rsidR="000A4BEB" w:rsidRPr="00972297">
        <w:t>quản lý, bảo vệ và phát huy giá trị di tích lịch sử - văn hóa, danh lam thắng cảnh, di vật, cổ vật, bảo vật quốc gia trên địa bàn tỉnh Tuyên Quang</w:t>
      </w:r>
      <w:bookmarkEnd w:id="1"/>
      <w:r w:rsidR="000A4BEB" w:rsidRPr="00972297">
        <w:t xml:space="preserve">, </w:t>
      </w:r>
      <w:r w:rsidRPr="00972297">
        <w:t>như sau:</w:t>
      </w:r>
    </w:p>
    <w:p w14:paraId="4610D2F6" w14:textId="61619854" w:rsidR="009C7CEA" w:rsidRPr="000A4BEB" w:rsidRDefault="009C7CEA" w:rsidP="004B137A">
      <w:pPr>
        <w:spacing w:before="60" w:after="60"/>
        <w:ind w:firstLine="720"/>
        <w:jc w:val="both"/>
        <w:rPr>
          <w:b/>
          <w:bCs/>
        </w:rPr>
      </w:pPr>
      <w:r w:rsidRPr="000A4BEB">
        <w:rPr>
          <w:b/>
          <w:bCs/>
        </w:rPr>
        <w:t>I. SỰ CẦN THIẾT BAN HÀNH VĂN BẢN</w:t>
      </w:r>
    </w:p>
    <w:p w14:paraId="3525E46E" w14:textId="66DA26CA" w:rsidR="00086A9A" w:rsidRDefault="00086A9A" w:rsidP="004B137A">
      <w:pPr>
        <w:spacing w:before="60" w:after="60"/>
        <w:jc w:val="both"/>
        <w:rPr>
          <w:b/>
          <w:bCs/>
        </w:rPr>
      </w:pPr>
      <w:r w:rsidRPr="000954EF">
        <w:tab/>
      </w:r>
      <w:r w:rsidRPr="004647D0">
        <w:rPr>
          <w:b/>
          <w:bCs/>
        </w:rPr>
        <w:t xml:space="preserve">1. Cơ sở pháp lý </w:t>
      </w:r>
    </w:p>
    <w:p w14:paraId="656A8D94" w14:textId="780B9687" w:rsidR="00A64F42" w:rsidRPr="00972297" w:rsidRDefault="00B0221F" w:rsidP="004B137A">
      <w:pPr>
        <w:spacing w:before="60" w:after="60"/>
        <w:ind w:firstLine="720"/>
        <w:jc w:val="both"/>
      </w:pPr>
      <w:r w:rsidRPr="00972297">
        <w:t xml:space="preserve">- </w:t>
      </w:r>
      <w:r w:rsidR="00A64F42" w:rsidRPr="00972297">
        <w:t xml:space="preserve">Điểm </w:t>
      </w:r>
      <w:r w:rsidR="00972297" w:rsidRPr="00972297">
        <w:t>a</w:t>
      </w:r>
      <w:r w:rsidR="00670D67">
        <w:t xml:space="preserve"> </w:t>
      </w:r>
      <w:r w:rsidR="00125AAE">
        <w:t>k</w:t>
      </w:r>
      <w:r w:rsidR="00A64F42" w:rsidRPr="00972297">
        <w:t xml:space="preserve">hoản 2 Điều 21 Luật Ban hành văn bản quy phạm pháp luật số 64/2025/QH15, được sửa đổi, bổ sung bởi Luật số 87/2025/QH15 quy định: </w:t>
      </w:r>
    </w:p>
    <w:p w14:paraId="07D8767F" w14:textId="33D3CA54" w:rsidR="001E7E06" w:rsidRPr="00125AAE" w:rsidRDefault="00A64F42" w:rsidP="004B137A">
      <w:pPr>
        <w:spacing w:before="60" w:after="60"/>
        <w:ind w:firstLine="720"/>
        <w:jc w:val="both"/>
        <w:rPr>
          <w:b/>
          <w:bCs/>
          <w:i/>
          <w:iCs/>
        </w:rPr>
      </w:pPr>
      <w:r w:rsidRPr="00125AAE">
        <w:rPr>
          <w:i/>
          <w:iCs/>
        </w:rPr>
        <w:t>“</w:t>
      </w:r>
      <w:r w:rsidR="009C604E" w:rsidRPr="00125AAE">
        <w:rPr>
          <w:b/>
          <w:bCs/>
          <w:i/>
          <w:iCs/>
        </w:rPr>
        <w:t>Điều 21.</w:t>
      </w:r>
      <w:r w:rsidR="009C604E" w:rsidRPr="00125AAE">
        <w:rPr>
          <w:i/>
          <w:iCs/>
        </w:rPr>
        <w:t xml:space="preserve"> </w:t>
      </w:r>
      <w:r w:rsidR="009C604E" w:rsidRPr="00125AAE">
        <w:rPr>
          <w:b/>
          <w:bCs/>
          <w:i/>
          <w:iCs/>
        </w:rPr>
        <w:t>Nghị quyết của Hội đồng nhân dân cấp tỉnh, quyết định của Uỷ ban nhân dân cấp tỉnh, quyết định của Chủ tịch Uỷ ban nhân dân cấp tỉnh</w:t>
      </w:r>
    </w:p>
    <w:p w14:paraId="4653D0F3" w14:textId="5F05D1AE" w:rsidR="00A64F42" w:rsidRPr="00125AAE" w:rsidRDefault="00A64F42" w:rsidP="004B137A">
      <w:pPr>
        <w:spacing w:before="60" w:after="60"/>
        <w:ind w:firstLine="720"/>
        <w:jc w:val="both"/>
        <w:rPr>
          <w:i/>
          <w:iCs/>
        </w:rPr>
      </w:pPr>
      <w:r w:rsidRPr="00125AAE">
        <w:rPr>
          <w:i/>
          <w:iCs/>
        </w:rPr>
        <w:t>2. Uỷ ban nhân dân tỉnh ban hành quyết định để quy định:</w:t>
      </w:r>
    </w:p>
    <w:p w14:paraId="5A0EFF81" w14:textId="13DF5B4C" w:rsidR="00A64F42" w:rsidRPr="0044267A" w:rsidRDefault="00BB07C2" w:rsidP="004B137A">
      <w:pPr>
        <w:spacing w:before="60" w:after="60"/>
        <w:ind w:firstLine="720"/>
        <w:jc w:val="both"/>
        <w:rPr>
          <w:i/>
          <w:iCs/>
        </w:rPr>
      </w:pPr>
      <w:r w:rsidRPr="0044267A">
        <w:rPr>
          <w:i/>
          <w:iCs/>
        </w:rPr>
        <w:t>a</w:t>
      </w:r>
      <w:r w:rsidR="00A64F42" w:rsidRPr="0044267A">
        <w:rPr>
          <w:i/>
          <w:iCs/>
        </w:rPr>
        <w:t xml:space="preserve">) </w:t>
      </w:r>
      <w:r w:rsidRPr="0044267A">
        <w:rPr>
          <w:i/>
          <w:iCs/>
        </w:rPr>
        <w:t xml:space="preserve">Chi tiết điều, khoản, điểm và các nội dung khác được giao trong văn bản quy phạm pháp </w:t>
      </w:r>
      <w:r w:rsidR="00D11E8F" w:rsidRPr="0044267A">
        <w:rPr>
          <w:i/>
          <w:iCs/>
        </w:rPr>
        <w:t xml:space="preserve">luật của cơ quan </w:t>
      </w:r>
      <w:r w:rsidR="004C5075" w:rsidRPr="0044267A">
        <w:rPr>
          <w:i/>
          <w:iCs/>
        </w:rPr>
        <w:t>nhà nước cấp trên;”.</w:t>
      </w:r>
    </w:p>
    <w:p w14:paraId="571C45DE" w14:textId="75BAB5BB" w:rsidR="00B0221F" w:rsidRDefault="00B0221F" w:rsidP="004B137A">
      <w:pPr>
        <w:spacing w:before="60" w:after="60"/>
        <w:ind w:firstLine="720"/>
        <w:jc w:val="both"/>
      </w:pPr>
      <w:r w:rsidRPr="00B0221F">
        <w:t xml:space="preserve">- </w:t>
      </w:r>
      <w:bookmarkStart w:id="2" w:name="_Hlk224282330"/>
      <w:r w:rsidR="006922AE">
        <w:t>Đ</w:t>
      </w:r>
      <w:r w:rsidR="006922AE" w:rsidRPr="006922AE">
        <w:t>iểm a</w:t>
      </w:r>
      <w:r w:rsidR="004C5075">
        <w:t xml:space="preserve"> </w:t>
      </w:r>
      <w:r w:rsidR="006922AE" w:rsidRPr="006922AE">
        <w:t>khoản 4 Điều 90 Luật Di sản văn hoá số 45/2024/QH15</w:t>
      </w:r>
      <w:r w:rsidR="006922AE">
        <w:t xml:space="preserve"> </w:t>
      </w:r>
      <w:bookmarkEnd w:id="2"/>
      <w:r w:rsidR="006922AE">
        <w:t xml:space="preserve">quy định: </w:t>
      </w:r>
    </w:p>
    <w:p w14:paraId="3DC6987F" w14:textId="179C9D6B" w:rsidR="0071792D" w:rsidRPr="001A2210" w:rsidRDefault="0071792D" w:rsidP="004B137A">
      <w:pPr>
        <w:spacing w:before="60" w:after="60"/>
        <w:ind w:firstLine="720"/>
        <w:jc w:val="both"/>
        <w:rPr>
          <w:b/>
          <w:bCs/>
          <w:i/>
          <w:iCs/>
        </w:rPr>
      </w:pPr>
      <w:r>
        <w:t>“</w:t>
      </w:r>
      <w:r w:rsidRPr="001A2210">
        <w:rPr>
          <w:b/>
          <w:bCs/>
          <w:i/>
          <w:iCs/>
        </w:rPr>
        <w:t>Điều 90. Trách nhiệm quản lý nhà nước về di sản văn hóa</w:t>
      </w:r>
    </w:p>
    <w:p w14:paraId="5C4D8C8D" w14:textId="77777777" w:rsidR="0071792D" w:rsidRPr="001A2210" w:rsidRDefault="0071792D" w:rsidP="004B137A">
      <w:pPr>
        <w:spacing w:before="60" w:after="60"/>
        <w:ind w:firstLine="720"/>
        <w:jc w:val="both"/>
        <w:rPr>
          <w:i/>
          <w:iCs/>
        </w:rPr>
      </w:pPr>
      <w:r w:rsidRPr="001A2210">
        <w:rPr>
          <w:i/>
          <w:iCs/>
        </w:rPr>
        <w:t>4. Ủy ban nhân dân cấp tỉnh t</w:t>
      </w:r>
      <w:bookmarkStart w:id="3" w:name="_Hlk224282507"/>
      <w:r w:rsidRPr="001A2210">
        <w:rPr>
          <w:i/>
          <w:iCs/>
        </w:rPr>
        <w:t>rong phạm vi, nhiệm vụ, quyền hạn của mình có trách nhiệm</w:t>
      </w:r>
      <w:bookmarkEnd w:id="3"/>
      <w:r w:rsidRPr="001A2210">
        <w:rPr>
          <w:i/>
          <w:iCs/>
        </w:rPr>
        <w:t xml:space="preserve"> sau đây:</w:t>
      </w:r>
    </w:p>
    <w:p w14:paraId="26F55AE6" w14:textId="77777777" w:rsidR="0033612D" w:rsidRDefault="0071792D" w:rsidP="004B137A">
      <w:pPr>
        <w:spacing w:before="60" w:after="60"/>
        <w:ind w:firstLine="720"/>
        <w:jc w:val="both"/>
      </w:pPr>
      <w:r>
        <w:t>a</w:t>
      </w:r>
      <w:r w:rsidRPr="008A073D">
        <w:rPr>
          <w:i/>
          <w:iCs/>
        </w:rPr>
        <w:t xml:space="preserve">) </w:t>
      </w:r>
      <w:bookmarkStart w:id="4" w:name="_Hlk224282558"/>
      <w:r w:rsidRPr="008A073D">
        <w:rPr>
          <w:i/>
          <w:iCs/>
        </w:rPr>
        <w:t xml:space="preserve">Xây dựng và ban hành theo thẩm quyền </w:t>
      </w:r>
      <w:bookmarkStart w:id="5" w:name="_Hlk224282470"/>
      <w:r w:rsidRPr="008A073D">
        <w:rPr>
          <w:i/>
          <w:iCs/>
        </w:rPr>
        <w:t>Quy chế quản lý, bảo vệ và phát huy giá trị di sản văn hoá trên địa bàn</w:t>
      </w:r>
      <w:bookmarkEnd w:id="4"/>
      <w:bookmarkEnd w:id="5"/>
      <w:r w:rsidRPr="008A073D">
        <w:rPr>
          <w:i/>
          <w:iCs/>
        </w:rPr>
        <w:t>;</w:t>
      </w:r>
      <w:r w:rsidR="005C48A9">
        <w:rPr>
          <w:i/>
          <w:iCs/>
        </w:rPr>
        <w:t>”.</w:t>
      </w:r>
    </w:p>
    <w:p w14:paraId="23D613F3" w14:textId="3CA1D1AB" w:rsidR="00086A9A" w:rsidRPr="0033612D" w:rsidRDefault="00086A9A" w:rsidP="004B137A">
      <w:pPr>
        <w:spacing w:before="60" w:after="60"/>
        <w:ind w:firstLine="720"/>
        <w:jc w:val="both"/>
      </w:pPr>
      <w:r w:rsidRPr="005468A7">
        <w:rPr>
          <w:b/>
          <w:bCs/>
        </w:rPr>
        <w:t xml:space="preserve">2. </w:t>
      </w:r>
      <w:r w:rsidR="00DA18EF" w:rsidRPr="005468A7">
        <w:rPr>
          <w:b/>
          <w:bCs/>
        </w:rPr>
        <w:t>Cơ sở thực tiễn</w:t>
      </w:r>
    </w:p>
    <w:p w14:paraId="4CDEAD3E" w14:textId="75D8C7DB" w:rsidR="00EC765F" w:rsidRPr="0033612D" w:rsidRDefault="00EC765F" w:rsidP="004B137A">
      <w:pPr>
        <w:spacing w:before="60" w:after="60"/>
        <w:ind w:firstLine="567"/>
        <w:jc w:val="both"/>
      </w:pPr>
      <w:r w:rsidRPr="00533A11">
        <w:rPr>
          <w:color w:val="000000"/>
          <w:lang w:val="nl-NL"/>
        </w:rPr>
        <w:t>Hiện nay, việc quản lý, bảo vệ và phát huy giá trị di sản v</w:t>
      </w:r>
      <w:r w:rsidRPr="00533A11">
        <w:rPr>
          <w:rFonts w:hint="eastAsia"/>
          <w:color w:val="000000"/>
          <w:lang w:val="nl-NL"/>
        </w:rPr>
        <w:t>ă</w:t>
      </w:r>
      <w:r w:rsidRPr="00533A11">
        <w:rPr>
          <w:color w:val="000000"/>
          <w:lang w:val="nl-NL"/>
        </w:rPr>
        <w:t xml:space="preserve">n hoá trên </w:t>
      </w:r>
      <w:r w:rsidRPr="00533A11">
        <w:rPr>
          <w:rFonts w:hint="eastAsia"/>
          <w:color w:val="000000"/>
          <w:lang w:val="nl-NL"/>
        </w:rPr>
        <w:t>đ</w:t>
      </w:r>
      <w:r w:rsidRPr="00533A11">
        <w:rPr>
          <w:color w:val="000000"/>
          <w:lang w:val="nl-NL"/>
        </w:rPr>
        <w:t>ịa bàn</w:t>
      </w:r>
      <w:r>
        <w:rPr>
          <w:color w:val="000000"/>
          <w:lang w:val="nl-NL"/>
        </w:rPr>
        <w:t xml:space="preserve"> </w:t>
      </w:r>
      <w:r w:rsidRPr="00533A11">
        <w:rPr>
          <w:color w:val="000000"/>
          <w:lang w:val="nl-NL"/>
        </w:rPr>
        <w:t xml:space="preserve">tỉnh Tuyên Quang </w:t>
      </w:r>
      <w:r w:rsidRPr="00533A11">
        <w:rPr>
          <w:rFonts w:hint="eastAsia"/>
          <w:color w:val="000000"/>
          <w:lang w:val="nl-NL"/>
        </w:rPr>
        <w:t>đư</w:t>
      </w:r>
      <w:r w:rsidRPr="00533A11">
        <w:rPr>
          <w:color w:val="000000"/>
          <w:lang w:val="nl-NL"/>
        </w:rPr>
        <w:t xml:space="preserve">ợc thực hiện theo Quyết </w:t>
      </w:r>
      <w:r w:rsidRPr="00533A11">
        <w:rPr>
          <w:rFonts w:hint="eastAsia"/>
          <w:color w:val="000000"/>
          <w:lang w:val="nl-NL"/>
        </w:rPr>
        <w:t>đ</w:t>
      </w:r>
      <w:r w:rsidRPr="00533A11">
        <w:rPr>
          <w:color w:val="000000"/>
          <w:lang w:val="nl-NL"/>
        </w:rPr>
        <w:t>ịnh số 28/2014/Q</w:t>
      </w:r>
      <w:r w:rsidRPr="00533A11">
        <w:rPr>
          <w:rFonts w:hint="eastAsia"/>
          <w:color w:val="000000"/>
          <w:lang w:val="nl-NL"/>
        </w:rPr>
        <w:t>Đ</w:t>
      </w:r>
      <w:r w:rsidRPr="00533A11">
        <w:rPr>
          <w:color w:val="000000"/>
          <w:lang w:val="nl-NL"/>
        </w:rPr>
        <w:t xml:space="preserve">-UBND ngày 20/12/2014 của UBND tỉnh Tuyên Quang </w:t>
      </w:r>
      <w:r>
        <w:rPr>
          <w:color w:val="000000"/>
          <w:lang w:val="nl-NL"/>
        </w:rPr>
        <w:t>Q</w:t>
      </w:r>
      <w:r w:rsidRPr="00533A11">
        <w:rPr>
          <w:color w:val="000000"/>
          <w:lang w:val="nl-NL"/>
        </w:rPr>
        <w:t xml:space="preserve">uy </w:t>
      </w:r>
      <w:r w:rsidRPr="00533A11">
        <w:rPr>
          <w:rFonts w:hint="eastAsia"/>
          <w:color w:val="000000"/>
          <w:lang w:val="nl-NL"/>
        </w:rPr>
        <w:t>đ</w:t>
      </w:r>
      <w:r w:rsidRPr="00533A11">
        <w:rPr>
          <w:color w:val="000000"/>
          <w:lang w:val="nl-NL"/>
        </w:rPr>
        <w:t>ịnh trách nhiệm quản lý, bảo vệ di</w:t>
      </w:r>
      <w:r>
        <w:rPr>
          <w:color w:val="000000"/>
          <w:lang w:val="nl-NL"/>
        </w:rPr>
        <w:t xml:space="preserve"> </w:t>
      </w:r>
      <w:r w:rsidRPr="00533A11">
        <w:rPr>
          <w:color w:val="000000"/>
          <w:lang w:val="nl-NL"/>
        </w:rPr>
        <w:t>tích lịch sử - v</w:t>
      </w:r>
      <w:r w:rsidRPr="00533A11">
        <w:rPr>
          <w:rFonts w:hint="eastAsia"/>
          <w:color w:val="000000"/>
          <w:lang w:val="nl-NL"/>
        </w:rPr>
        <w:t>ă</w:t>
      </w:r>
      <w:r w:rsidRPr="00533A11">
        <w:rPr>
          <w:color w:val="000000"/>
          <w:lang w:val="nl-NL"/>
        </w:rPr>
        <w:t xml:space="preserve">n hoá, danh lam thắng cảnh, di vật, cổ vật, bảo vật quốc gia trên </w:t>
      </w:r>
      <w:r w:rsidRPr="00533A11">
        <w:rPr>
          <w:rFonts w:hint="eastAsia"/>
          <w:color w:val="000000"/>
          <w:lang w:val="nl-NL"/>
        </w:rPr>
        <w:t>đ</w:t>
      </w:r>
      <w:r w:rsidRPr="00533A11">
        <w:rPr>
          <w:color w:val="000000"/>
          <w:lang w:val="nl-NL"/>
        </w:rPr>
        <w:t>ịa</w:t>
      </w:r>
      <w:r>
        <w:rPr>
          <w:color w:val="000000"/>
          <w:lang w:val="nl-NL"/>
        </w:rPr>
        <w:t xml:space="preserve"> </w:t>
      </w:r>
      <w:r w:rsidRPr="00533A11">
        <w:rPr>
          <w:color w:val="000000"/>
          <w:lang w:val="nl-NL"/>
        </w:rPr>
        <w:t xml:space="preserve">bàn tỉnh Tuyên Quang, </w:t>
      </w:r>
      <w:r w:rsidRPr="00533A11">
        <w:rPr>
          <w:rFonts w:hint="eastAsia"/>
          <w:color w:val="000000"/>
          <w:lang w:val="nl-NL"/>
        </w:rPr>
        <w:t>đư</w:t>
      </w:r>
      <w:r w:rsidRPr="00533A11">
        <w:rPr>
          <w:color w:val="000000"/>
          <w:lang w:val="nl-NL"/>
        </w:rPr>
        <w:t xml:space="preserve">ợc sửa </w:t>
      </w:r>
      <w:r w:rsidRPr="00533A11">
        <w:rPr>
          <w:rFonts w:hint="eastAsia"/>
          <w:color w:val="000000"/>
          <w:lang w:val="nl-NL"/>
        </w:rPr>
        <w:t>đ</w:t>
      </w:r>
      <w:r w:rsidRPr="00533A11">
        <w:rPr>
          <w:color w:val="000000"/>
          <w:lang w:val="nl-NL"/>
        </w:rPr>
        <w:t xml:space="preserve">ổi, bổ sung bởi Quyết </w:t>
      </w:r>
      <w:r w:rsidRPr="00533A11">
        <w:rPr>
          <w:rFonts w:hint="eastAsia"/>
          <w:color w:val="000000"/>
          <w:lang w:val="nl-NL"/>
        </w:rPr>
        <w:t>đ</w:t>
      </w:r>
      <w:r w:rsidRPr="00533A11">
        <w:rPr>
          <w:color w:val="000000"/>
          <w:lang w:val="nl-NL"/>
        </w:rPr>
        <w:t>ịnh số 24/2020/Q</w:t>
      </w:r>
      <w:r w:rsidRPr="00533A11">
        <w:rPr>
          <w:rFonts w:hint="eastAsia"/>
          <w:color w:val="000000"/>
          <w:lang w:val="nl-NL"/>
        </w:rPr>
        <w:t>Đ</w:t>
      </w:r>
      <w:r w:rsidRPr="00533A11">
        <w:rPr>
          <w:color w:val="000000"/>
          <w:lang w:val="nl-NL"/>
        </w:rPr>
        <w:t>-</w:t>
      </w:r>
      <w:r w:rsidRPr="00533A11">
        <w:rPr>
          <w:color w:val="000000"/>
          <w:lang w:val="nl-NL"/>
        </w:rPr>
        <w:lastRenderedPageBreak/>
        <w:t>UBND ngày 26/12/2020</w:t>
      </w:r>
      <w:r w:rsidR="0033612D">
        <w:rPr>
          <w:color w:val="000000"/>
          <w:lang w:val="nl-NL"/>
        </w:rPr>
        <w:t xml:space="preserve"> </w:t>
      </w:r>
      <w:r w:rsidR="0033612D" w:rsidRPr="00DD6CA4">
        <w:rPr>
          <w:lang w:val="nl-NL"/>
        </w:rPr>
        <w:t xml:space="preserve">sửa </w:t>
      </w:r>
      <w:r w:rsidR="0033612D" w:rsidRPr="00DD6CA4">
        <w:rPr>
          <w:rFonts w:hint="eastAsia"/>
          <w:lang w:val="nl-NL"/>
        </w:rPr>
        <w:t>đ</w:t>
      </w:r>
      <w:r w:rsidR="0033612D" w:rsidRPr="00DD6CA4">
        <w:rPr>
          <w:lang w:val="nl-NL"/>
        </w:rPr>
        <w:t xml:space="preserve">ổi, bổ sung một số điều của </w:t>
      </w:r>
      <w:r w:rsidR="0033612D" w:rsidRPr="00DD6CA4">
        <w:t xml:space="preserve">Quy định trách nhiệm quản lý, bảo vệ di tích lịch sử - văn hoá, danh lam thắng cảnh, di vật, cổ vật, bảo vật quốc gia trên địa bàn tỉnh Tuyên Quang ban hành kèm theo Quyết định số 28/2014/QĐ-UBND ngày 20/12/2014 của </w:t>
      </w:r>
      <w:r w:rsidR="0033612D" w:rsidRPr="00BB624F">
        <w:t>Ủy ban nhân dân</w:t>
      </w:r>
      <w:r w:rsidR="0033612D" w:rsidRPr="00DD6CA4">
        <w:t xml:space="preserve"> tỉnh.</w:t>
      </w:r>
      <w:r w:rsidR="0033612D">
        <w:t xml:space="preserve"> </w:t>
      </w:r>
      <w:r w:rsidRPr="00533A11">
        <w:rPr>
          <w:color w:val="000000"/>
          <w:lang w:val="nl-NL"/>
        </w:rPr>
        <w:t>Tuy nhiên</w:t>
      </w:r>
      <w:r w:rsidRPr="00404B87">
        <w:rPr>
          <w:lang w:val="nl-NL"/>
        </w:rPr>
        <w:t xml:space="preserve">, </w:t>
      </w:r>
      <w:r w:rsidR="0033612D">
        <w:rPr>
          <w:lang w:val="nl-NL"/>
        </w:rPr>
        <w:t>các</w:t>
      </w:r>
      <w:r w:rsidRPr="00404B87">
        <w:rPr>
          <w:lang w:val="nl-NL"/>
        </w:rPr>
        <w:t xml:space="preserve"> c</w:t>
      </w:r>
      <w:r w:rsidRPr="00404B87">
        <w:rPr>
          <w:rFonts w:hint="eastAsia"/>
          <w:lang w:val="nl-NL"/>
        </w:rPr>
        <w:t>ă</w:t>
      </w:r>
      <w:r w:rsidRPr="00404B87">
        <w:rPr>
          <w:lang w:val="nl-NL"/>
        </w:rPr>
        <w:t xml:space="preserve">n cứ pháp lý quan trọng </w:t>
      </w:r>
      <w:r w:rsidRPr="00404B87">
        <w:rPr>
          <w:rFonts w:hint="eastAsia"/>
          <w:lang w:val="nl-NL"/>
        </w:rPr>
        <w:t>đ</w:t>
      </w:r>
      <w:r w:rsidRPr="00404B87">
        <w:rPr>
          <w:lang w:val="nl-NL"/>
        </w:rPr>
        <w:t xml:space="preserve">ể ban hành các Quyết </w:t>
      </w:r>
      <w:r w:rsidRPr="00404B87">
        <w:rPr>
          <w:rFonts w:hint="eastAsia"/>
          <w:lang w:val="nl-NL"/>
        </w:rPr>
        <w:t>đ</w:t>
      </w:r>
      <w:r w:rsidRPr="00404B87">
        <w:rPr>
          <w:lang w:val="nl-NL"/>
        </w:rPr>
        <w:t xml:space="preserve">ịnh nêu trên đến nay </w:t>
      </w:r>
      <w:r w:rsidRPr="00533A11">
        <w:rPr>
          <w:rFonts w:hint="eastAsia"/>
          <w:color w:val="000000"/>
          <w:lang w:val="nl-NL"/>
        </w:rPr>
        <w:t>đã</w:t>
      </w:r>
      <w:r w:rsidRPr="00533A11">
        <w:rPr>
          <w:color w:val="000000"/>
          <w:lang w:val="nl-NL"/>
        </w:rPr>
        <w:t xml:space="preserve"> hết hiệu lực thi hành và thay thế bằng v</w:t>
      </w:r>
      <w:r w:rsidRPr="00533A11">
        <w:rPr>
          <w:rFonts w:hint="eastAsia"/>
          <w:color w:val="000000"/>
          <w:lang w:val="nl-NL"/>
        </w:rPr>
        <w:t>ă</w:t>
      </w:r>
      <w:r w:rsidRPr="00533A11">
        <w:rPr>
          <w:color w:val="000000"/>
          <w:lang w:val="nl-NL"/>
        </w:rPr>
        <w:t>n bản mới</w:t>
      </w:r>
      <w:r>
        <w:rPr>
          <w:color w:val="000000"/>
          <w:lang w:val="nl-NL"/>
        </w:rPr>
        <w:t>.</w:t>
      </w:r>
    </w:p>
    <w:p w14:paraId="6E876D7D" w14:textId="5C80457A" w:rsidR="0051134E" w:rsidRDefault="00EC765F" w:rsidP="004B137A">
      <w:pPr>
        <w:spacing w:before="60" w:after="60"/>
        <w:ind w:firstLine="720"/>
        <w:jc w:val="both"/>
        <w:rPr>
          <w:i/>
          <w:iCs/>
          <w:lang w:val="nl-NL"/>
        </w:rPr>
      </w:pPr>
      <w:r w:rsidRPr="00404B87">
        <w:rPr>
          <w:lang w:val="nl-NL"/>
        </w:rPr>
        <w:t xml:space="preserve"> Một số nội dung quy định tại Quyết </w:t>
      </w:r>
      <w:r w:rsidRPr="00404B87">
        <w:rPr>
          <w:rFonts w:hint="eastAsia"/>
          <w:lang w:val="nl-NL"/>
        </w:rPr>
        <w:t>đ</w:t>
      </w:r>
      <w:r w:rsidRPr="00404B87">
        <w:rPr>
          <w:lang w:val="nl-NL"/>
        </w:rPr>
        <w:t>ịnh số 28/2014/Q</w:t>
      </w:r>
      <w:r w:rsidRPr="00404B87">
        <w:rPr>
          <w:rFonts w:hint="eastAsia"/>
          <w:lang w:val="nl-NL"/>
        </w:rPr>
        <w:t>Đ</w:t>
      </w:r>
      <w:r w:rsidRPr="00404B87">
        <w:rPr>
          <w:lang w:val="nl-NL"/>
        </w:rPr>
        <w:t xml:space="preserve">-UBND và Quyết </w:t>
      </w:r>
      <w:r w:rsidRPr="00404B87">
        <w:rPr>
          <w:rFonts w:hint="eastAsia"/>
          <w:lang w:val="nl-NL"/>
        </w:rPr>
        <w:t>đ</w:t>
      </w:r>
      <w:r w:rsidRPr="00404B87">
        <w:rPr>
          <w:lang w:val="nl-NL"/>
        </w:rPr>
        <w:t>ịnh số 24/2020/Q</w:t>
      </w:r>
      <w:r w:rsidRPr="00404B87">
        <w:rPr>
          <w:rFonts w:hint="eastAsia"/>
          <w:lang w:val="nl-NL"/>
        </w:rPr>
        <w:t>Đ</w:t>
      </w:r>
      <w:r w:rsidRPr="00404B87">
        <w:rPr>
          <w:lang w:val="nl-NL"/>
        </w:rPr>
        <w:t xml:space="preserve">-UBND không còn phù hợp với quy </w:t>
      </w:r>
      <w:r w:rsidRPr="00404B87">
        <w:rPr>
          <w:rFonts w:hint="eastAsia"/>
          <w:lang w:val="nl-NL"/>
        </w:rPr>
        <w:t>đ</w:t>
      </w:r>
      <w:r w:rsidRPr="00404B87">
        <w:rPr>
          <w:lang w:val="nl-NL"/>
        </w:rPr>
        <w:t>ịnh của pháp luật hiện hành và tình hình thực tế sau khi sắp xếp, tinh gọn tổ chức bộ máy trong hệ thống chính trị và thực hiện mô hình chính quyền địa phương 02 cấp.</w:t>
      </w:r>
      <w:r w:rsidR="0033612D">
        <w:rPr>
          <w:lang w:val="nl-NL"/>
        </w:rPr>
        <w:t xml:space="preserve"> Đặc biệt</w:t>
      </w:r>
      <w:r w:rsidR="005F4043">
        <w:rPr>
          <w:lang w:val="nl-NL"/>
        </w:rPr>
        <w:t>,</w:t>
      </w:r>
      <w:r w:rsidR="0033612D">
        <w:rPr>
          <w:lang w:val="nl-NL"/>
        </w:rPr>
        <w:t xml:space="preserve"> việc quản lý</w:t>
      </w:r>
      <w:r w:rsidR="00377E27" w:rsidRPr="00377E27">
        <w:rPr>
          <w:lang w:val="nl-NL"/>
        </w:rPr>
        <w:t xml:space="preserve">, bảo vệ và phát huy giá trị </w:t>
      </w:r>
      <w:bookmarkStart w:id="6" w:name="_Hlk224222616"/>
      <w:r w:rsidR="00377E27" w:rsidRPr="00377E27">
        <w:rPr>
          <w:lang w:val="nl-NL"/>
        </w:rPr>
        <w:t>di tích lịch sử - văn hóa, danh lam thắng cảnh</w:t>
      </w:r>
      <w:bookmarkEnd w:id="6"/>
      <w:r w:rsidR="00377E27" w:rsidRPr="00377E27">
        <w:rPr>
          <w:lang w:val="nl-NL"/>
        </w:rPr>
        <w:t>, di vật, cổ vật, bảo vật quốc gia trên địa bàn tỉnh Tuyên Quang</w:t>
      </w:r>
      <w:r w:rsidR="005F4043">
        <w:rPr>
          <w:lang w:val="nl-NL"/>
        </w:rPr>
        <w:t xml:space="preserve"> sau sáp nhập</w:t>
      </w:r>
      <w:r w:rsidR="00D12552">
        <w:rPr>
          <w:lang w:val="nl-NL"/>
        </w:rPr>
        <w:t xml:space="preserve"> số lượng </w:t>
      </w:r>
      <w:r w:rsidR="00440D6A">
        <w:rPr>
          <w:lang w:val="nl-NL"/>
        </w:rPr>
        <w:t xml:space="preserve">lớn </w:t>
      </w:r>
      <w:r w:rsidR="00361FFE">
        <w:rPr>
          <w:lang w:val="nl-NL"/>
        </w:rPr>
        <w:t>(</w:t>
      </w:r>
      <w:r w:rsidR="00361FFE" w:rsidRPr="00F51ED3">
        <w:rPr>
          <w:i/>
          <w:iCs/>
          <w:lang w:val="nl-NL"/>
        </w:rPr>
        <w:t>794 di tích lịch sử - văn hóa, danh lam thắng cảnh</w:t>
      </w:r>
      <w:r w:rsidR="00F51ED3">
        <w:rPr>
          <w:i/>
          <w:iCs/>
          <w:lang w:val="nl-NL"/>
        </w:rPr>
        <w:t>;</w:t>
      </w:r>
      <w:r w:rsidR="00F51ED3" w:rsidRPr="00F51ED3">
        <w:rPr>
          <w:lang w:val="nl-NL"/>
        </w:rPr>
        <w:t xml:space="preserve"> </w:t>
      </w:r>
      <w:r w:rsidR="00F51ED3" w:rsidRPr="00F51ED3">
        <w:rPr>
          <w:i/>
          <w:iCs/>
          <w:lang w:val="nl-NL"/>
        </w:rPr>
        <w:t>4 bảo vật quốc gia</w:t>
      </w:r>
      <w:r w:rsidR="00361FFE">
        <w:rPr>
          <w:lang w:val="nl-NL"/>
        </w:rPr>
        <w:t>)</w:t>
      </w:r>
      <w:r w:rsidR="00F51ED3">
        <w:rPr>
          <w:lang w:val="nl-NL"/>
        </w:rPr>
        <w:t xml:space="preserve">, địa bàn phân bố rộng, </w:t>
      </w:r>
      <w:r w:rsidR="00440D6A">
        <w:rPr>
          <w:lang w:val="nl-NL"/>
        </w:rPr>
        <w:t xml:space="preserve">phân tán, </w:t>
      </w:r>
      <w:r w:rsidR="00F51ED3">
        <w:rPr>
          <w:lang w:val="nl-NL"/>
        </w:rPr>
        <w:t>khó quản lý</w:t>
      </w:r>
      <w:r w:rsidR="00FE5B58">
        <w:rPr>
          <w:i/>
          <w:iCs/>
          <w:lang w:val="nl-NL"/>
        </w:rPr>
        <w:t xml:space="preserve">. </w:t>
      </w:r>
    </w:p>
    <w:p w14:paraId="53C34795" w14:textId="18689D34" w:rsidR="00DA18EF" w:rsidRPr="00FE5B58" w:rsidRDefault="00FE5B58" w:rsidP="004B137A">
      <w:pPr>
        <w:spacing w:before="60" w:after="60"/>
        <w:ind w:firstLine="720"/>
        <w:jc w:val="both"/>
        <w:rPr>
          <w:i/>
          <w:iCs/>
          <w:lang w:val="nl-NL"/>
        </w:rPr>
      </w:pPr>
      <w:bookmarkStart w:id="7" w:name="_GoBack"/>
      <w:bookmarkEnd w:id="7"/>
      <w:r>
        <w:rPr>
          <w:lang w:val="nl-NL"/>
        </w:rPr>
        <w:t xml:space="preserve">Vì vậy, </w:t>
      </w:r>
      <w:r>
        <w:t>v</w:t>
      </w:r>
      <w:r w:rsidR="00E35ADF" w:rsidRPr="003A4196">
        <w:t>iệc</w:t>
      </w:r>
      <w:r w:rsidR="002952AE" w:rsidRPr="003A4196">
        <w:t xml:space="preserve"> Uỷ ban nhân dân tỉnh Quyết định</w:t>
      </w:r>
      <w:r w:rsidR="00E35ADF" w:rsidRPr="003A4196">
        <w:t xml:space="preserve"> ban hành </w:t>
      </w:r>
      <w:r w:rsidR="0037269E" w:rsidRPr="003A4196">
        <w:t>Q</w:t>
      </w:r>
      <w:r w:rsidR="00E35ADF" w:rsidRPr="003A4196">
        <w:t xml:space="preserve">uy chế </w:t>
      </w:r>
      <w:r w:rsidR="003A4196" w:rsidRPr="003A4196">
        <w:rPr>
          <w:spacing w:val="-2"/>
        </w:rPr>
        <w:t>quản lý, bảo vệ và phát huy giá trị di tích lịch sử - văn hóa, danh lam thắng cảnh, di vật, cổ vật, bảo vật quốc gia trên địa bàn tỉnh Tuyên Quang</w:t>
      </w:r>
      <w:r w:rsidR="003A4196" w:rsidRPr="003A4196">
        <w:t xml:space="preserve"> </w:t>
      </w:r>
      <w:r w:rsidR="00E35ADF" w:rsidRPr="003A4196">
        <w:t>là hết sức cần thiết</w:t>
      </w:r>
      <w:r w:rsidR="002A21C8" w:rsidRPr="003A4196">
        <w:t xml:space="preserve"> và phù hợp với yêu cầu thực tiễn</w:t>
      </w:r>
      <w:r w:rsidR="00E35ADF" w:rsidRPr="003A4196">
        <w:t>.</w:t>
      </w:r>
    </w:p>
    <w:p w14:paraId="2F323139" w14:textId="2E317E6A" w:rsidR="00341A88" w:rsidRPr="00D5282E" w:rsidRDefault="00341A88" w:rsidP="004B137A">
      <w:pPr>
        <w:tabs>
          <w:tab w:val="left" w:pos="0"/>
          <w:tab w:val="left" w:pos="565"/>
        </w:tabs>
        <w:spacing w:before="60" w:after="60"/>
        <w:ind w:firstLine="709"/>
        <w:jc w:val="both"/>
        <w:rPr>
          <w:b/>
          <w:bCs/>
        </w:rPr>
      </w:pPr>
      <w:r w:rsidRPr="00D5282E">
        <w:rPr>
          <w:b/>
          <w:bCs/>
        </w:rPr>
        <w:t>II. MỤC ĐÍCH BAN HÀNH, QUAN ĐIỂM XÂY DỰNG DỰ THẢO VĂN BẢN</w:t>
      </w:r>
    </w:p>
    <w:p w14:paraId="3BCB75C2" w14:textId="57FD1104" w:rsidR="008F27AC" w:rsidRDefault="008F27AC" w:rsidP="004B137A">
      <w:pPr>
        <w:tabs>
          <w:tab w:val="left" w:pos="0"/>
          <w:tab w:val="left" w:pos="565"/>
        </w:tabs>
        <w:spacing w:before="60" w:after="60"/>
        <w:ind w:firstLine="709"/>
        <w:jc w:val="both"/>
        <w:rPr>
          <w:b/>
          <w:bCs/>
        </w:rPr>
      </w:pPr>
      <w:r w:rsidRPr="00D5282E">
        <w:rPr>
          <w:b/>
          <w:bCs/>
        </w:rPr>
        <w:t>1. Mục đích ban hành văn bản</w:t>
      </w:r>
    </w:p>
    <w:p w14:paraId="15CC924E" w14:textId="331C7756" w:rsidR="00A31425" w:rsidRDefault="00A31425" w:rsidP="00A31425">
      <w:pPr>
        <w:spacing w:before="120" w:after="120" w:line="360" w:lineRule="exact"/>
        <w:ind w:firstLine="720"/>
        <w:jc w:val="both"/>
        <w:rPr>
          <w:lang w:val="nl-NL"/>
        </w:rPr>
      </w:pPr>
      <w:r>
        <w:rPr>
          <w:lang w:val="nl-NL"/>
        </w:rPr>
        <w:t xml:space="preserve">Để công tác quản lý, bảo vệ </w:t>
      </w:r>
      <w:r w:rsidRPr="00F906B3">
        <w:t>và phát huy giá trị di tích lịch sử - văn hóa và danh lam thắng cảnh trên địa bàn tỉnh Tuyên Quang</w:t>
      </w:r>
      <w:r w:rsidRPr="00F906B3">
        <w:rPr>
          <w:lang w:val="nl-NL"/>
        </w:rPr>
        <w:t xml:space="preserve"> </w:t>
      </w:r>
      <w:r>
        <w:rPr>
          <w:lang w:val="nl-NL"/>
        </w:rPr>
        <w:t xml:space="preserve">sau </w:t>
      </w:r>
      <w:r w:rsidRPr="00A454F0">
        <w:rPr>
          <w:lang w:val="nl-NL"/>
        </w:rPr>
        <w:t xml:space="preserve">khi thực hiện mô hình tổ chức chính quyền </w:t>
      </w:r>
      <w:r w:rsidRPr="00A454F0">
        <w:rPr>
          <w:rFonts w:hint="eastAsia"/>
          <w:lang w:val="nl-NL"/>
        </w:rPr>
        <w:t>đ</w:t>
      </w:r>
      <w:r w:rsidRPr="00A454F0">
        <w:rPr>
          <w:lang w:val="nl-NL"/>
        </w:rPr>
        <w:t>ịa ph</w:t>
      </w:r>
      <w:r w:rsidRPr="00A454F0">
        <w:rPr>
          <w:rFonts w:hint="eastAsia"/>
          <w:lang w:val="nl-NL"/>
        </w:rPr>
        <w:t>ươ</w:t>
      </w:r>
      <w:r w:rsidRPr="00A454F0">
        <w:rPr>
          <w:lang w:val="nl-NL"/>
        </w:rPr>
        <w:t>ng 02 cấp</w:t>
      </w:r>
      <w:r>
        <w:rPr>
          <w:lang w:val="nl-NL"/>
        </w:rPr>
        <w:t xml:space="preserve"> đảm bảo thống nhất, chặt chẽ, hiệu quả, đúng quy định.</w:t>
      </w:r>
    </w:p>
    <w:p w14:paraId="2ECE0BA0" w14:textId="7CAD64D9" w:rsidR="002C3516" w:rsidRPr="00EC1D97" w:rsidRDefault="002C3516" w:rsidP="004B137A">
      <w:pPr>
        <w:tabs>
          <w:tab w:val="left" w:pos="0"/>
          <w:tab w:val="left" w:pos="565"/>
        </w:tabs>
        <w:spacing w:before="60" w:after="60"/>
        <w:ind w:firstLine="709"/>
        <w:jc w:val="both"/>
        <w:rPr>
          <w:b/>
          <w:bCs/>
        </w:rPr>
      </w:pPr>
      <w:r w:rsidRPr="00EC1D97">
        <w:rPr>
          <w:b/>
          <w:bCs/>
        </w:rPr>
        <w:t>2. Quan điểm xây dựng dự thảo văn bản</w:t>
      </w:r>
    </w:p>
    <w:p w14:paraId="60ECE74A" w14:textId="6802E0E9" w:rsidR="00E53E57" w:rsidRPr="00DE3A7F" w:rsidRDefault="00E53E57" w:rsidP="004B137A">
      <w:pPr>
        <w:spacing w:before="60" w:after="60"/>
        <w:ind w:firstLine="709"/>
        <w:jc w:val="both"/>
        <w:rPr>
          <w:bdr w:val="none" w:sz="0" w:space="0" w:color="auto" w:frame="1"/>
        </w:rPr>
      </w:pPr>
      <w:r w:rsidRPr="00DE3A7F">
        <w:rPr>
          <w:bdr w:val="none" w:sz="0" w:space="0" w:color="auto" w:frame="1"/>
        </w:rPr>
        <w:t xml:space="preserve">Phù hợp với các quy định trong </w:t>
      </w:r>
      <w:r w:rsidR="00CE2849" w:rsidRPr="00DE3A7F">
        <w:t>Luật số 45/2024/QH15, các Nghị định, Thông tư hướng dẫn thi hành và các quy định khác có liên quan</w:t>
      </w:r>
      <w:r w:rsidR="006F534B" w:rsidRPr="00DE3A7F">
        <w:rPr>
          <w:bdr w:val="none" w:sz="0" w:space="0" w:color="auto" w:frame="1"/>
        </w:rPr>
        <w:t>; phù hợp với tình hình thực tiễn của tỉnh và đảm bảo quy trình xây dựng, ban hành văn bản quy phạm pháp luật theo quy định của pháp luật hiện hành</w:t>
      </w:r>
      <w:r w:rsidR="00623AE2" w:rsidRPr="00DE3A7F">
        <w:rPr>
          <w:bdr w:val="none" w:sz="0" w:space="0" w:color="auto" w:frame="1"/>
        </w:rPr>
        <w:t>; đảm bảo sự phân công rõ ràng, thống nhất đầu mối và hiệu quả thực hiện.</w:t>
      </w:r>
    </w:p>
    <w:p w14:paraId="045E8EBB" w14:textId="7DB77151" w:rsidR="009D2793" w:rsidRPr="00DE3A7F" w:rsidRDefault="00227B2C" w:rsidP="004B137A">
      <w:pPr>
        <w:tabs>
          <w:tab w:val="left" w:pos="720"/>
        </w:tabs>
        <w:spacing w:before="60" w:after="60"/>
        <w:ind w:firstLine="720"/>
        <w:jc w:val="both"/>
        <w:rPr>
          <w:b/>
          <w:bCs/>
        </w:rPr>
      </w:pPr>
      <w:r w:rsidRPr="00DE3A7F">
        <w:rPr>
          <w:b/>
          <w:bCs/>
        </w:rPr>
        <w:t xml:space="preserve">III. QUÁ TRÌNH XÂY DỰNG DỰ THẢO VĂN BẢN </w:t>
      </w:r>
    </w:p>
    <w:p w14:paraId="223DB308" w14:textId="5D7D031B" w:rsidR="00227B2C" w:rsidRPr="00091C11" w:rsidRDefault="00227B2C" w:rsidP="004B137A">
      <w:pPr>
        <w:spacing w:before="60" w:after="60"/>
        <w:ind w:firstLine="720"/>
        <w:jc w:val="both"/>
        <w:rPr>
          <w:spacing w:val="2"/>
          <w:lang w:val="pt-BR"/>
        </w:rPr>
      </w:pPr>
      <w:r w:rsidRPr="008105FF">
        <w:rPr>
          <w:spacing w:val="2"/>
          <w:lang w:val="pt-BR"/>
        </w:rPr>
        <w:t>Th</w:t>
      </w:r>
      <w:r w:rsidR="005C1EBF" w:rsidRPr="008105FF">
        <w:rPr>
          <w:spacing w:val="2"/>
          <w:lang w:val="pt-BR"/>
        </w:rPr>
        <w:t>ực hiện Văn bản số 3758/UBND-NC ngày 24/11/2025 của Uỷ ban nhân dân tỉnh về việc cho ý kiến soạn thảo Quyết định quy phạm pháp luật của Uỷ ban nhân dân tỉnh</w:t>
      </w:r>
      <w:r w:rsidR="00A64E18" w:rsidRPr="008105FF">
        <w:rPr>
          <w:spacing w:val="2"/>
          <w:lang w:val="pt-BR"/>
        </w:rPr>
        <w:t xml:space="preserve">, trong đó giao Sở Văn hoá, Thể thao và Du lịch chủ trì, phối hợp với các cơ quan, đơn vị xây dựng </w:t>
      </w:r>
      <w:r w:rsidR="008105FF" w:rsidRPr="008105FF">
        <w:rPr>
          <w:spacing w:val="2"/>
          <w:lang w:val="pt-BR"/>
        </w:rPr>
        <w:t>Quyết định Quy định trách nhiệm quản lý, bảo vệ di tích lịch sử - văn hóa, danh lam thắng cảnh, di vật, cổ vật, bảo vật quốc gia trên địa bàn tỉnh Tuyên Quang</w:t>
      </w:r>
      <w:r w:rsidR="00A64E18" w:rsidRPr="008105FF">
        <w:rPr>
          <w:spacing w:val="2"/>
          <w:lang w:val="pt-BR"/>
        </w:rPr>
        <w:t xml:space="preserve">. </w:t>
      </w:r>
      <w:r w:rsidRPr="0073612C">
        <w:rPr>
          <w:spacing w:val="2"/>
          <w:lang w:val="pt-BR"/>
        </w:rPr>
        <w:t xml:space="preserve">Ngày </w:t>
      </w:r>
      <w:r w:rsidR="00ED1CA5" w:rsidRPr="0073612C">
        <w:rPr>
          <w:spacing w:val="2"/>
        </w:rPr>
        <w:t>2</w:t>
      </w:r>
      <w:r w:rsidR="0073612C" w:rsidRPr="0073612C">
        <w:rPr>
          <w:spacing w:val="2"/>
        </w:rPr>
        <w:t>6</w:t>
      </w:r>
      <w:r w:rsidRPr="0073612C">
        <w:rPr>
          <w:spacing w:val="2"/>
        </w:rPr>
        <w:t>/</w:t>
      </w:r>
      <w:r w:rsidR="0073612C" w:rsidRPr="0073612C">
        <w:rPr>
          <w:spacing w:val="2"/>
        </w:rPr>
        <w:t>01</w:t>
      </w:r>
      <w:r w:rsidRPr="0073612C">
        <w:rPr>
          <w:spacing w:val="2"/>
        </w:rPr>
        <w:t>/202</w:t>
      </w:r>
      <w:r w:rsidR="0073612C" w:rsidRPr="0073612C">
        <w:rPr>
          <w:spacing w:val="2"/>
        </w:rPr>
        <w:t>6</w:t>
      </w:r>
      <w:r w:rsidRPr="0073612C">
        <w:rPr>
          <w:spacing w:val="2"/>
          <w:lang w:val="vi-VN"/>
        </w:rPr>
        <w:t>,</w:t>
      </w:r>
      <w:r w:rsidRPr="0073612C">
        <w:rPr>
          <w:spacing w:val="2"/>
          <w:lang w:val="pt-BR"/>
        </w:rPr>
        <w:t xml:space="preserve"> Sở Văn hóa, Thể thao và Du lịch đã ban hành Quyết định số </w:t>
      </w:r>
      <w:r w:rsidR="0073612C" w:rsidRPr="0073612C">
        <w:rPr>
          <w:spacing w:val="2"/>
        </w:rPr>
        <w:t>31</w:t>
      </w:r>
      <w:r w:rsidRPr="0073612C">
        <w:rPr>
          <w:spacing w:val="2"/>
          <w:lang w:val="pt-BR"/>
        </w:rPr>
        <w:t xml:space="preserve">/QĐ-SVHTTDL thành lập Tổ soạn thảo dự thảo </w:t>
      </w:r>
      <w:r w:rsidR="00ED1CA5" w:rsidRPr="0073612C">
        <w:rPr>
          <w:bCs/>
          <w:spacing w:val="2"/>
          <w:lang w:val="nl-NL"/>
        </w:rPr>
        <w:t>Quyết định</w:t>
      </w:r>
      <w:r w:rsidRPr="0073612C">
        <w:rPr>
          <w:bCs/>
          <w:spacing w:val="2"/>
          <w:lang w:val="vi-VN"/>
        </w:rPr>
        <w:t xml:space="preserve">. </w:t>
      </w:r>
      <w:r w:rsidRPr="00091C11">
        <w:t xml:space="preserve">Tổ soạn thảo đã phân công nhiệm vụ, tổ chức thu thập, nghiên cứu các văn bản pháp luật và tài liệu có liên quan </w:t>
      </w:r>
      <w:r w:rsidRPr="00091C11">
        <w:rPr>
          <w:spacing w:val="2"/>
          <w:lang w:val="vi-VN" w:eastAsia="vi-VN"/>
        </w:rPr>
        <w:t xml:space="preserve">đề hoàn thiện, trình dự thảo Tờ trình, dự thảo Quyết định theo </w:t>
      </w:r>
      <w:r w:rsidRPr="00091C11">
        <w:rPr>
          <w:spacing w:val="2"/>
          <w:lang w:eastAsia="vi-VN"/>
        </w:rPr>
        <w:t>quy định.</w:t>
      </w:r>
    </w:p>
    <w:p w14:paraId="3409FD7E" w14:textId="5ADC77FD" w:rsidR="00227B2C" w:rsidRPr="00420A61" w:rsidRDefault="00227B2C" w:rsidP="004B137A">
      <w:pPr>
        <w:spacing w:before="60" w:after="60"/>
        <w:ind w:firstLine="720"/>
        <w:jc w:val="both"/>
        <w:rPr>
          <w:spacing w:val="-2"/>
        </w:rPr>
      </w:pPr>
      <w:r w:rsidRPr="00420A61">
        <w:rPr>
          <w:spacing w:val="-2"/>
        </w:rPr>
        <w:lastRenderedPageBreak/>
        <w:t>Ngày</w:t>
      </w:r>
      <w:r w:rsidR="00404A55" w:rsidRPr="00420A61">
        <w:rPr>
          <w:spacing w:val="-2"/>
        </w:rPr>
        <w:t xml:space="preserve"> 12</w:t>
      </w:r>
      <w:r w:rsidRPr="00420A61">
        <w:rPr>
          <w:spacing w:val="-2"/>
        </w:rPr>
        <w:t>/</w:t>
      </w:r>
      <w:r w:rsidR="00404A55" w:rsidRPr="00420A61">
        <w:rPr>
          <w:spacing w:val="-2"/>
        </w:rPr>
        <w:t>3</w:t>
      </w:r>
      <w:r w:rsidRPr="00420A61">
        <w:rPr>
          <w:spacing w:val="-2"/>
        </w:rPr>
        <w:t>/202</w:t>
      </w:r>
      <w:r w:rsidR="00ED1CA5" w:rsidRPr="00420A61">
        <w:rPr>
          <w:spacing w:val="-2"/>
        </w:rPr>
        <w:t>6</w:t>
      </w:r>
      <w:r w:rsidRPr="00420A61">
        <w:rPr>
          <w:spacing w:val="-2"/>
        </w:rPr>
        <w:t xml:space="preserve">, Sở Văn hóa, Thể thao và Du lịch đã ban hành Văn bản số </w:t>
      </w:r>
      <w:r w:rsidR="00ED1CA5" w:rsidRPr="00420A61">
        <w:rPr>
          <w:spacing w:val="-2"/>
        </w:rPr>
        <w:t>….</w:t>
      </w:r>
      <w:r w:rsidRPr="00420A61">
        <w:rPr>
          <w:spacing w:val="-2"/>
        </w:rPr>
        <w:t>/SVHTTDL-</w:t>
      </w:r>
      <w:r w:rsidR="00404A55" w:rsidRPr="00420A61">
        <w:rPr>
          <w:spacing w:val="-2"/>
        </w:rPr>
        <w:t>QLDSVH</w:t>
      </w:r>
      <w:r w:rsidRPr="00420A61">
        <w:rPr>
          <w:spacing w:val="-2"/>
        </w:rPr>
        <w:t xml:space="preserve"> về việc tham gia ý kiến vào dự thảo </w:t>
      </w:r>
      <w:r w:rsidR="00ED1CA5" w:rsidRPr="00420A61">
        <w:rPr>
          <w:bCs/>
          <w:spacing w:val="2"/>
          <w:lang w:val="nl-NL"/>
        </w:rPr>
        <w:t>Tờ trình và dự thảo Quyết định</w:t>
      </w:r>
      <w:r w:rsidR="004917F6" w:rsidRPr="00420A61">
        <w:rPr>
          <w:bCs/>
          <w:spacing w:val="2"/>
          <w:lang w:val="nl-NL"/>
        </w:rPr>
        <w:t xml:space="preserve"> </w:t>
      </w:r>
      <w:r w:rsidRPr="00420A61">
        <w:rPr>
          <w:spacing w:val="-2"/>
        </w:rPr>
        <w:t xml:space="preserve">gửi </w:t>
      </w:r>
      <w:r w:rsidR="004917F6" w:rsidRPr="00420A61">
        <w:rPr>
          <w:spacing w:val="-2"/>
        </w:rPr>
        <w:t xml:space="preserve">… </w:t>
      </w:r>
      <w:r w:rsidRPr="00420A61">
        <w:rPr>
          <w:spacing w:val="-2"/>
        </w:rPr>
        <w:t xml:space="preserve">cơ quan, đơn vị có liên quan. Kết quả, Sở Văn hóa, Thể thao và Du lịch nhận được văn bản tham gia ý kiến của </w:t>
      </w:r>
      <w:r w:rsidR="004917F6" w:rsidRPr="00420A61">
        <w:rPr>
          <w:spacing w:val="-2"/>
        </w:rPr>
        <w:t xml:space="preserve">… </w:t>
      </w:r>
      <w:r w:rsidRPr="00420A61">
        <w:rPr>
          <w:spacing w:val="-2"/>
        </w:rPr>
        <w:t xml:space="preserve">cơ quan, đơn vị; trong đó, có </w:t>
      </w:r>
      <w:r w:rsidR="004917F6" w:rsidRPr="00420A61">
        <w:rPr>
          <w:spacing w:val="-2"/>
        </w:rPr>
        <w:t xml:space="preserve">… </w:t>
      </w:r>
      <w:r w:rsidRPr="00420A61">
        <w:rPr>
          <w:spacing w:val="-2"/>
        </w:rPr>
        <w:t xml:space="preserve">cơ quan, đơn vị nhất trí với dự thảo Quyết định; </w:t>
      </w:r>
      <w:r w:rsidR="004917F6" w:rsidRPr="00420A61">
        <w:rPr>
          <w:spacing w:val="-2"/>
        </w:rPr>
        <w:t>…</w:t>
      </w:r>
      <w:r w:rsidRPr="00420A61">
        <w:rPr>
          <w:spacing w:val="-2"/>
        </w:rPr>
        <w:t xml:space="preserve"> cơ quan, đơn vị có ý kiến tham gia đóng góp vào dự thảo Quyết định; </w:t>
      </w:r>
      <w:r w:rsidR="004917F6" w:rsidRPr="00420A61">
        <w:rPr>
          <w:spacing w:val="-2"/>
        </w:rPr>
        <w:t>…</w:t>
      </w:r>
      <w:r w:rsidRPr="00420A61">
        <w:rPr>
          <w:spacing w:val="-2"/>
        </w:rPr>
        <w:t xml:space="preserve"> cơ quan, đơn vị không có ý kiến tham gia. Trên cơ sở ý kiến tham gia bằng văn bản của các cơ quan, đơn vị, Sở Văn hóa, Thể thao và Du lịch đã tổng hợp, nghiên cứu, tiếp thu, chỉnh sửa dự thảo Quyết định gửi Sở Tư pháp thẩm định.</w:t>
      </w:r>
    </w:p>
    <w:p w14:paraId="7E4EA9F7" w14:textId="4FAE32A0" w:rsidR="00227B2C" w:rsidRPr="00420A61" w:rsidRDefault="00227B2C" w:rsidP="004B137A">
      <w:pPr>
        <w:spacing w:before="60" w:after="60"/>
        <w:ind w:firstLine="720"/>
        <w:jc w:val="both"/>
        <w:rPr>
          <w:lang w:val="pt-BR"/>
        </w:rPr>
      </w:pPr>
      <w:r w:rsidRPr="00420A61">
        <w:rPr>
          <w:lang w:val="pt-BR"/>
        </w:rPr>
        <w:t xml:space="preserve">Ngày </w:t>
      </w:r>
      <w:r w:rsidR="004917F6" w:rsidRPr="00420A61">
        <w:t>…</w:t>
      </w:r>
      <w:r w:rsidRPr="00420A61">
        <w:t>/</w:t>
      </w:r>
      <w:r w:rsidR="004917F6" w:rsidRPr="00420A61">
        <w:t>…</w:t>
      </w:r>
      <w:r w:rsidRPr="00420A61">
        <w:rPr>
          <w:lang w:val="vi-VN"/>
        </w:rPr>
        <w:t>/202</w:t>
      </w:r>
      <w:r w:rsidR="004917F6" w:rsidRPr="00420A61">
        <w:t>6</w:t>
      </w:r>
      <w:r w:rsidRPr="00420A61">
        <w:rPr>
          <w:lang w:val="pt-BR"/>
        </w:rPr>
        <w:t>, Sở Văn hóa, Thể thao và Du lịch gửi hồ sơ đề nghị Sở Tư pháp thẩm định theo quy định</w:t>
      </w:r>
      <w:r w:rsidRPr="00420A61">
        <w:rPr>
          <w:lang w:val="vi-VN"/>
        </w:rPr>
        <w:t xml:space="preserve"> </w:t>
      </w:r>
      <w:r w:rsidRPr="00420A61">
        <w:t xml:space="preserve">tại Văn bản số </w:t>
      </w:r>
      <w:r w:rsidR="004917F6" w:rsidRPr="00420A61">
        <w:t>…</w:t>
      </w:r>
      <w:r w:rsidRPr="00420A61">
        <w:t>/SVHTTDL-</w:t>
      </w:r>
      <w:r w:rsidR="00420A61" w:rsidRPr="00420A61">
        <w:t>QLDSVH</w:t>
      </w:r>
      <w:r w:rsidRPr="00420A61">
        <w:t xml:space="preserve"> </w:t>
      </w:r>
      <w:r w:rsidRPr="00420A61">
        <w:rPr>
          <w:lang w:val="vi-VN"/>
        </w:rPr>
        <w:t>và</w:t>
      </w:r>
      <w:r w:rsidRPr="00420A61">
        <w:rPr>
          <w:lang w:val="pt-BR"/>
        </w:rPr>
        <w:t xml:space="preserve"> tiếp thu ý kiến thẩm định của Sở Tư pháp tại Báo cáo số </w:t>
      </w:r>
      <w:r w:rsidR="004917F6" w:rsidRPr="00420A61">
        <w:t>…</w:t>
      </w:r>
      <w:r w:rsidRPr="00420A61">
        <w:rPr>
          <w:lang w:val="pt-BR"/>
        </w:rPr>
        <w:t xml:space="preserve">/BC-STP ngày </w:t>
      </w:r>
      <w:r w:rsidR="004917F6" w:rsidRPr="00420A61">
        <w:rPr>
          <w:lang w:val="pt-BR"/>
        </w:rPr>
        <w:t>...</w:t>
      </w:r>
      <w:r w:rsidRPr="00420A61">
        <w:rPr>
          <w:lang w:val="pt-BR"/>
        </w:rPr>
        <w:t>/</w:t>
      </w:r>
      <w:r w:rsidR="004917F6" w:rsidRPr="00420A61">
        <w:rPr>
          <w:lang w:val="pt-BR"/>
        </w:rPr>
        <w:t>...</w:t>
      </w:r>
      <w:r w:rsidRPr="00420A61">
        <w:rPr>
          <w:lang w:val="pt-BR"/>
        </w:rPr>
        <w:t>/202</w:t>
      </w:r>
      <w:r w:rsidR="004917F6" w:rsidRPr="00420A61">
        <w:rPr>
          <w:lang w:val="pt-BR"/>
        </w:rPr>
        <w:t>6</w:t>
      </w:r>
      <w:r w:rsidRPr="00420A61">
        <w:rPr>
          <w:lang w:val="pt-BR"/>
        </w:rPr>
        <w:t xml:space="preserve"> để chỉnh lý, hoàn thiện dự thảo Quyết định và hồ sơ trình Ủy ban nhân dân tỉnh.</w:t>
      </w:r>
    </w:p>
    <w:p w14:paraId="01833966" w14:textId="4CFD87DF" w:rsidR="00227B2C" w:rsidRPr="00420A61" w:rsidRDefault="0079600E" w:rsidP="004B137A">
      <w:pPr>
        <w:tabs>
          <w:tab w:val="left" w:pos="720"/>
        </w:tabs>
        <w:spacing w:before="60" w:after="60"/>
        <w:ind w:firstLine="720"/>
        <w:jc w:val="both"/>
        <w:rPr>
          <w:b/>
          <w:bCs/>
        </w:rPr>
      </w:pPr>
      <w:r w:rsidRPr="00420A61">
        <w:rPr>
          <w:b/>
          <w:bCs/>
        </w:rPr>
        <w:t>IV. BỐ CỤC VÀ NỘI DUNG CƠ BẢN CỦA DỰ THẢO VĂN BẢN</w:t>
      </w:r>
    </w:p>
    <w:p w14:paraId="35525060" w14:textId="5F343CCA" w:rsidR="0079600E" w:rsidRPr="00420A61" w:rsidRDefault="00EE4D4D" w:rsidP="004B137A">
      <w:pPr>
        <w:tabs>
          <w:tab w:val="left" w:pos="720"/>
        </w:tabs>
        <w:spacing w:before="60" w:after="60"/>
        <w:ind w:firstLine="720"/>
        <w:jc w:val="both"/>
        <w:rPr>
          <w:b/>
          <w:bCs/>
        </w:rPr>
      </w:pPr>
      <w:r w:rsidRPr="00420A61">
        <w:rPr>
          <w:b/>
          <w:bCs/>
        </w:rPr>
        <w:t>1. Phạm vi điều chỉnh, đối tượng áp dụng</w:t>
      </w:r>
    </w:p>
    <w:p w14:paraId="720CEBE5" w14:textId="3F2D2D83" w:rsidR="00EE4D4D" w:rsidRDefault="00EE4D4D" w:rsidP="004B137A">
      <w:pPr>
        <w:tabs>
          <w:tab w:val="left" w:pos="720"/>
        </w:tabs>
        <w:spacing w:before="60" w:after="60"/>
        <w:ind w:firstLine="720"/>
        <w:jc w:val="both"/>
      </w:pPr>
      <w:r w:rsidRPr="00DD7A83">
        <w:t>a) Phạm vi điều chỉnh</w:t>
      </w:r>
    </w:p>
    <w:p w14:paraId="4337D088" w14:textId="19EF01AF" w:rsidR="00DD7A83" w:rsidRPr="00DD7A83" w:rsidRDefault="00DD7A83" w:rsidP="004B137A">
      <w:pPr>
        <w:tabs>
          <w:tab w:val="left" w:pos="720"/>
        </w:tabs>
        <w:spacing w:before="60" w:after="60"/>
        <w:ind w:firstLine="720"/>
        <w:jc w:val="both"/>
      </w:pPr>
      <w:r w:rsidRPr="00DD7A83">
        <w:t>Quy chế này quy định trách nhiệm quản lý, bảo vệ và phát huy giá trị di tích lịch sử - văn hóa, danh lam thắng cảnh đã được cơ quan có thẩm quyền xếp hạng và các di tích trong Danh mục kiểm kê thuộc thẩm quyền quản lý của Ủy ban nhân dân tỉnh Tuyên Quang (sau đây gọi tắt là di tích), di vật, cổ vật, bảo vật quốc gia thuộc di tích và không thuộc di tích trên địa bàn tỉnh Tuyên Quang theo quy định tại điểm a, khoản 4 Điều 90 Luật Di sản văn hoá số 45/2024/QH15.</w:t>
      </w:r>
    </w:p>
    <w:p w14:paraId="5491DBF3" w14:textId="50BF8FA2" w:rsidR="008B61A1" w:rsidRDefault="008B61A1" w:rsidP="004B137A">
      <w:pPr>
        <w:tabs>
          <w:tab w:val="left" w:pos="720"/>
        </w:tabs>
        <w:spacing w:before="60" w:after="60"/>
        <w:ind w:firstLine="720"/>
        <w:jc w:val="both"/>
      </w:pPr>
      <w:r w:rsidRPr="00DD7A83">
        <w:t>b) Đối tượng áp dụng</w:t>
      </w:r>
    </w:p>
    <w:p w14:paraId="5FF616D6" w14:textId="7FD15CB7" w:rsidR="00DD7A83" w:rsidRPr="00DD7A83" w:rsidRDefault="00DD7A83" w:rsidP="004B137A">
      <w:pPr>
        <w:tabs>
          <w:tab w:val="left" w:pos="720"/>
        </w:tabs>
        <w:spacing w:before="60" w:after="60"/>
        <w:ind w:firstLine="720"/>
        <w:jc w:val="both"/>
      </w:pPr>
      <w:r w:rsidRPr="00DD7A83">
        <w:t>Quy chế này áp dụng đối với các cơ quan chuyên môn cấp tỉnh; Ủy ban nhân dân các xã, phường (sau đây gọi tắt là Ủy ban nhân dân cấp xã); các tổ chức, cá nhân có liên quan đến hoạt động quản lý, bảo vệ và phát huy giá trị di tích, di vật, cổ vật, bảo vật quốc gia trên địa bàn tỉnh Tuyên Quang.</w:t>
      </w:r>
    </w:p>
    <w:p w14:paraId="75DA878D" w14:textId="4DFF449D" w:rsidR="003C0B19" w:rsidRPr="00DD7A83" w:rsidRDefault="003C0B19" w:rsidP="004B137A">
      <w:pPr>
        <w:tabs>
          <w:tab w:val="left" w:pos="720"/>
        </w:tabs>
        <w:spacing w:before="60" w:after="60"/>
        <w:ind w:firstLine="720"/>
        <w:jc w:val="both"/>
        <w:rPr>
          <w:b/>
          <w:bCs/>
        </w:rPr>
      </w:pPr>
      <w:r w:rsidRPr="00DD7A83">
        <w:rPr>
          <w:b/>
          <w:bCs/>
        </w:rPr>
        <w:t>2. Bố cục của dự thảo văn bản</w:t>
      </w:r>
    </w:p>
    <w:p w14:paraId="7CFB26A2" w14:textId="0E5B9D01" w:rsidR="009344A7" w:rsidRPr="00DD7A83" w:rsidRDefault="00756259" w:rsidP="004B137A">
      <w:pPr>
        <w:tabs>
          <w:tab w:val="left" w:pos="720"/>
        </w:tabs>
        <w:spacing w:before="60" w:after="60"/>
        <w:ind w:firstLine="720"/>
        <w:jc w:val="both"/>
        <w:rPr>
          <w:b/>
          <w:bCs/>
          <w:i/>
          <w:iCs/>
        </w:rPr>
      </w:pPr>
      <w:r w:rsidRPr="00DD7A83">
        <w:rPr>
          <w:b/>
          <w:bCs/>
          <w:i/>
          <w:iCs/>
        </w:rPr>
        <w:t>a) Bố cục của dự thảo Quyết định</w:t>
      </w:r>
      <w:bookmarkStart w:id="8" w:name="dieu_1"/>
    </w:p>
    <w:p w14:paraId="6BA2E3E3" w14:textId="0CEEBD6D" w:rsidR="00191C1D" w:rsidRPr="008D0A8D" w:rsidRDefault="00191C1D" w:rsidP="004B137A">
      <w:pPr>
        <w:tabs>
          <w:tab w:val="left" w:pos="720"/>
        </w:tabs>
        <w:spacing w:before="60" w:after="60"/>
        <w:ind w:firstLine="720"/>
        <w:jc w:val="both"/>
      </w:pPr>
      <w:r w:rsidRPr="008D0A8D">
        <w:t>Gồm 02 Điều</w:t>
      </w:r>
      <w:r w:rsidR="00DD3C5A" w:rsidRPr="008D0A8D">
        <w:t>, cụ thể như sau:</w:t>
      </w:r>
    </w:p>
    <w:p w14:paraId="115F1568" w14:textId="74744308" w:rsidR="009344A7" w:rsidRPr="00191C1D" w:rsidRDefault="00191C1D" w:rsidP="004B137A">
      <w:pPr>
        <w:spacing w:before="60" w:after="60"/>
        <w:ind w:firstLine="567"/>
        <w:jc w:val="both"/>
        <w:rPr>
          <w:color w:val="FF0000"/>
        </w:rPr>
      </w:pPr>
      <w:r w:rsidRPr="008D0A8D">
        <w:t xml:space="preserve">- </w:t>
      </w:r>
      <w:r w:rsidR="009344A7" w:rsidRPr="008D0A8D">
        <w:t>Điều 1</w:t>
      </w:r>
      <w:r w:rsidRPr="008D0A8D">
        <w:t>:</w:t>
      </w:r>
      <w:r w:rsidR="009344A7" w:rsidRPr="008D0A8D">
        <w:t xml:space="preserve"> </w:t>
      </w:r>
      <w:bookmarkStart w:id="9" w:name="dieu_2"/>
      <w:bookmarkEnd w:id="8"/>
      <w:r w:rsidR="008D0A8D" w:rsidRPr="007C67DA">
        <w:t>Ban hành kèm theo Quyết định này Quy chế quản lý, bảo vệ và phát huy giá trị di tích lịch sử - văn hóa, danh lam thắng cảnh, di vật, cổ vật, bảo vật quốc gia trên địa bàn tỉnh Tuyên Quang.</w:t>
      </w:r>
    </w:p>
    <w:p w14:paraId="54BF91C0" w14:textId="18CEA6C2" w:rsidR="009344A7" w:rsidRPr="008D0A8D" w:rsidRDefault="00191C1D" w:rsidP="004B137A">
      <w:pPr>
        <w:tabs>
          <w:tab w:val="left" w:pos="720"/>
        </w:tabs>
        <w:spacing w:before="60" w:after="60"/>
        <w:ind w:firstLine="720"/>
        <w:jc w:val="both"/>
      </w:pPr>
      <w:r w:rsidRPr="008D0A8D">
        <w:t xml:space="preserve">- </w:t>
      </w:r>
      <w:r w:rsidR="009344A7" w:rsidRPr="008D0A8D">
        <w:t>Điều 2</w:t>
      </w:r>
      <w:r w:rsidRPr="008D0A8D">
        <w:t>:</w:t>
      </w:r>
      <w:r w:rsidR="009344A7" w:rsidRPr="008D0A8D">
        <w:t xml:space="preserve"> </w:t>
      </w:r>
      <w:bookmarkEnd w:id="9"/>
      <w:r w:rsidRPr="008D0A8D">
        <w:t>Điều khoản thi hành.</w:t>
      </w:r>
    </w:p>
    <w:p w14:paraId="79B53C64" w14:textId="7183CCA9" w:rsidR="00764365" w:rsidRPr="008D0A8D" w:rsidRDefault="00CB43C4" w:rsidP="004B137A">
      <w:pPr>
        <w:tabs>
          <w:tab w:val="left" w:pos="720"/>
        </w:tabs>
        <w:spacing w:before="60" w:after="60"/>
        <w:ind w:firstLine="720"/>
        <w:jc w:val="both"/>
        <w:rPr>
          <w:b/>
          <w:bCs/>
          <w:i/>
          <w:iCs/>
        </w:rPr>
      </w:pPr>
      <w:r w:rsidRPr="008D0A8D">
        <w:rPr>
          <w:b/>
          <w:bCs/>
          <w:i/>
          <w:iCs/>
        </w:rPr>
        <w:t>b) Bố cục của dự thảo Quy chế ban hành kèm theo Quyết định</w:t>
      </w:r>
    </w:p>
    <w:p w14:paraId="684F5392" w14:textId="67B56EB7" w:rsidR="00CB43C4" w:rsidRPr="00536FFE" w:rsidRDefault="00CB43C4" w:rsidP="004B137A">
      <w:pPr>
        <w:tabs>
          <w:tab w:val="left" w:pos="720"/>
        </w:tabs>
        <w:spacing w:before="60" w:after="60"/>
        <w:ind w:firstLine="720"/>
        <w:jc w:val="both"/>
      </w:pPr>
      <w:r w:rsidRPr="00536FFE">
        <w:t>Gồm</w:t>
      </w:r>
      <w:r w:rsidR="00DD3C5A" w:rsidRPr="00536FFE">
        <w:t xml:space="preserve"> </w:t>
      </w:r>
      <w:r w:rsidRPr="00536FFE">
        <w:t>0</w:t>
      </w:r>
      <w:r w:rsidR="008D0A8D" w:rsidRPr="00536FFE">
        <w:t>4</w:t>
      </w:r>
      <w:r w:rsidRPr="00536FFE">
        <w:t xml:space="preserve"> </w:t>
      </w:r>
      <w:r w:rsidR="00DD3C5A" w:rsidRPr="00536FFE">
        <w:t>C</w:t>
      </w:r>
      <w:r w:rsidRPr="00536FFE">
        <w:t xml:space="preserve">hương và </w:t>
      </w:r>
      <w:r w:rsidR="00536FFE" w:rsidRPr="00536FFE">
        <w:t>10</w:t>
      </w:r>
      <w:r w:rsidRPr="00536FFE">
        <w:t xml:space="preserve"> Điều</w:t>
      </w:r>
      <w:r w:rsidR="00DD3C5A" w:rsidRPr="00536FFE">
        <w:t>, cụ thể như sau</w:t>
      </w:r>
      <w:r w:rsidR="00536FFE">
        <w:t>:</w:t>
      </w:r>
    </w:p>
    <w:p w14:paraId="46FD264E" w14:textId="33FAD308" w:rsidR="00D139A0" w:rsidRPr="00336499" w:rsidRDefault="006235F9" w:rsidP="004B137A">
      <w:pPr>
        <w:spacing w:before="60" w:after="60"/>
        <w:ind w:firstLine="720"/>
        <w:jc w:val="both"/>
      </w:pPr>
      <w:r w:rsidRPr="00336499">
        <w:t xml:space="preserve">- </w:t>
      </w:r>
      <w:r w:rsidR="00D139A0" w:rsidRPr="00336499">
        <w:t xml:space="preserve">Chương I: </w:t>
      </w:r>
      <w:r w:rsidRPr="00336499">
        <w:t>Quy định chung</w:t>
      </w:r>
      <w:r w:rsidR="00336499">
        <w:t xml:space="preserve"> (gồm 0</w:t>
      </w:r>
      <w:r w:rsidR="00A03317">
        <w:t>2</w:t>
      </w:r>
      <w:r w:rsidR="00336499">
        <w:t xml:space="preserve"> </w:t>
      </w:r>
      <w:r w:rsidR="003B61C3">
        <w:t>Đ</w:t>
      </w:r>
      <w:r w:rsidR="00336499">
        <w:t>iều)</w:t>
      </w:r>
    </w:p>
    <w:p w14:paraId="78B35300" w14:textId="57E39834" w:rsidR="00D139A0" w:rsidRPr="004F0DAF" w:rsidRDefault="00D139A0" w:rsidP="004B137A">
      <w:pPr>
        <w:spacing w:before="60" w:after="60"/>
        <w:ind w:firstLine="720"/>
        <w:jc w:val="both"/>
      </w:pPr>
      <w:r w:rsidRPr="004F0DAF">
        <w:t>Điều 1. Phạm vi điều chỉnh, đối tượng áp dụng</w:t>
      </w:r>
    </w:p>
    <w:p w14:paraId="53563B7D" w14:textId="4CEA1096" w:rsidR="00A03317" w:rsidRDefault="00D139A0" w:rsidP="004B137A">
      <w:pPr>
        <w:spacing w:before="60" w:after="60"/>
        <w:ind w:firstLine="720"/>
        <w:jc w:val="both"/>
        <w:rPr>
          <w:lang w:val="pt-BR"/>
        </w:rPr>
      </w:pPr>
      <w:r w:rsidRPr="004F0DAF">
        <w:t xml:space="preserve">Điều 2. </w:t>
      </w:r>
      <w:r w:rsidR="00A03317" w:rsidRPr="00A03317">
        <w:rPr>
          <w:lang w:val="pt-BR"/>
        </w:rPr>
        <w:t>Nguyên tắc quản lý, bảo vệ và phát huy giá trị di tích, di vật, cổ vật, bảo vật quốc gia</w:t>
      </w:r>
    </w:p>
    <w:p w14:paraId="4C45C3DE" w14:textId="4C2352C1" w:rsidR="001505DB" w:rsidRPr="000205CD" w:rsidRDefault="006235F9" w:rsidP="004B137A">
      <w:pPr>
        <w:spacing w:before="60" w:after="60"/>
        <w:ind w:firstLine="720"/>
        <w:jc w:val="both"/>
      </w:pPr>
      <w:r w:rsidRPr="000205CD">
        <w:t xml:space="preserve">- </w:t>
      </w:r>
      <w:r w:rsidR="00D139A0" w:rsidRPr="000205CD">
        <w:t xml:space="preserve">Chương II: </w:t>
      </w:r>
      <w:r w:rsidR="00A03317">
        <w:t xml:space="preserve">Quản lý di tích </w:t>
      </w:r>
      <w:r w:rsidR="000205CD">
        <w:t xml:space="preserve">(gồm </w:t>
      </w:r>
      <w:r w:rsidR="008B0432">
        <w:t>02</w:t>
      </w:r>
      <w:r w:rsidR="00336499">
        <w:t xml:space="preserve"> </w:t>
      </w:r>
      <w:r w:rsidR="003B61C3">
        <w:t>Đ</w:t>
      </w:r>
      <w:r w:rsidR="00336499">
        <w:t>iều)</w:t>
      </w:r>
    </w:p>
    <w:p w14:paraId="31CE283A" w14:textId="77777777" w:rsidR="008B0432" w:rsidRDefault="008B0432" w:rsidP="004B137A">
      <w:pPr>
        <w:spacing w:before="60" w:after="60"/>
        <w:ind w:firstLine="720"/>
        <w:jc w:val="both"/>
        <w:rPr>
          <w:bCs/>
          <w:lang w:val="pt-BR"/>
        </w:rPr>
      </w:pPr>
      <w:r w:rsidRPr="008B0432">
        <w:rPr>
          <w:bCs/>
          <w:lang w:val="pt-BR"/>
        </w:rPr>
        <w:lastRenderedPageBreak/>
        <w:t>Điều 3. Trách nhiệm quản lý di tích, di vật, cổ vật, bảo vật quốc gia</w:t>
      </w:r>
    </w:p>
    <w:p w14:paraId="5529E68C" w14:textId="161C2567" w:rsidR="008B0432" w:rsidRDefault="008B0432" w:rsidP="004B137A">
      <w:pPr>
        <w:tabs>
          <w:tab w:val="left" w:pos="900"/>
        </w:tabs>
        <w:spacing w:before="60" w:after="60"/>
        <w:ind w:firstLine="720"/>
        <w:jc w:val="both"/>
        <w:rPr>
          <w:bCs/>
        </w:rPr>
      </w:pPr>
      <w:r w:rsidRPr="008B0432">
        <w:rPr>
          <w:bCs/>
        </w:rPr>
        <w:t xml:space="preserve">Điều 4. Quản lý hiện vật thuộc di tích </w:t>
      </w:r>
    </w:p>
    <w:p w14:paraId="58824848" w14:textId="4BD3A2D4" w:rsidR="00D139A0" w:rsidRDefault="004F0DAF" w:rsidP="004B137A">
      <w:pPr>
        <w:spacing w:before="60" w:after="60"/>
        <w:ind w:firstLine="720"/>
        <w:jc w:val="both"/>
      </w:pPr>
      <w:bookmarkStart w:id="10" w:name="_Hlk224224484"/>
      <w:r w:rsidRPr="000205CD">
        <w:t xml:space="preserve">- </w:t>
      </w:r>
      <w:r w:rsidR="00D139A0" w:rsidRPr="000205CD">
        <w:t>Chương I</w:t>
      </w:r>
      <w:r w:rsidR="004256B4" w:rsidRPr="000205CD">
        <w:t>II</w:t>
      </w:r>
      <w:r w:rsidR="00D139A0" w:rsidRPr="000205CD">
        <w:t xml:space="preserve">: </w:t>
      </w:r>
      <w:bookmarkEnd w:id="10"/>
      <w:r w:rsidR="008B0432">
        <w:t xml:space="preserve">Bảo vệ và phát huy giá trị di tích </w:t>
      </w:r>
      <w:r w:rsidR="000205CD">
        <w:t>(gồm 0</w:t>
      </w:r>
      <w:r w:rsidR="003B61C3">
        <w:t>2</w:t>
      </w:r>
      <w:r w:rsidR="000205CD">
        <w:t xml:space="preserve"> </w:t>
      </w:r>
      <w:r w:rsidR="003B61C3">
        <w:t>Đ</w:t>
      </w:r>
      <w:r w:rsidR="000205CD">
        <w:t>iều)</w:t>
      </w:r>
    </w:p>
    <w:p w14:paraId="7E18447F" w14:textId="47884666" w:rsidR="008B0432" w:rsidRDefault="008B0432" w:rsidP="004B137A">
      <w:pPr>
        <w:spacing w:before="60" w:after="60"/>
        <w:ind w:firstLine="720"/>
        <w:jc w:val="both"/>
      </w:pPr>
      <w:r w:rsidRPr="008B0432">
        <w:t>Điều 5. Các hoạt động bảo vệ và phát huy giá trị di tích của cơ quan, đơn vị, địa phương được phân cấp quản lý di tích</w:t>
      </w:r>
    </w:p>
    <w:p w14:paraId="5201905E" w14:textId="4852964A" w:rsidR="008B0432" w:rsidRDefault="008B0432" w:rsidP="004B137A">
      <w:pPr>
        <w:spacing w:before="60" w:after="60"/>
        <w:ind w:firstLine="720"/>
        <w:jc w:val="both"/>
      </w:pPr>
      <w:r w:rsidRPr="008B0432">
        <w:t>Điều 6. Quản lý hoạt động bảo vệ và phát huy giá trị di tích</w:t>
      </w:r>
    </w:p>
    <w:p w14:paraId="235C79E3" w14:textId="093BBC61" w:rsidR="003B61C3" w:rsidRDefault="003B61C3" w:rsidP="004B137A">
      <w:pPr>
        <w:spacing w:before="60" w:after="60"/>
        <w:ind w:firstLine="720"/>
        <w:jc w:val="both"/>
      </w:pPr>
      <w:r w:rsidRPr="003B61C3">
        <w:t>- Chương I</w:t>
      </w:r>
      <w:r>
        <w:t>V</w:t>
      </w:r>
      <w:r w:rsidRPr="003B61C3">
        <w:t>:</w:t>
      </w:r>
      <w:r>
        <w:t xml:space="preserve"> Tổ chức thực hiện (04 </w:t>
      </w:r>
      <w:r w:rsidR="00983E5E">
        <w:t>Đ</w:t>
      </w:r>
      <w:r>
        <w:t>iều)</w:t>
      </w:r>
    </w:p>
    <w:p w14:paraId="6CAB1F0E" w14:textId="30963694" w:rsidR="003B61C3" w:rsidRDefault="00983E5E" w:rsidP="004B137A">
      <w:pPr>
        <w:spacing w:before="60" w:after="60"/>
        <w:ind w:firstLine="720"/>
        <w:jc w:val="both"/>
      </w:pPr>
      <w:r w:rsidRPr="00983E5E">
        <w:t>Điều 7. Phân công thực hiện</w:t>
      </w:r>
    </w:p>
    <w:p w14:paraId="0DB8A588" w14:textId="2DC8782F" w:rsidR="00983E5E" w:rsidRDefault="00983E5E" w:rsidP="004B137A">
      <w:pPr>
        <w:spacing w:before="60" w:after="60"/>
        <w:ind w:firstLine="720"/>
        <w:jc w:val="both"/>
      </w:pPr>
      <w:r w:rsidRPr="00983E5E">
        <w:t>Điều 8. Trách nhiệm của Ban quản lý di tích</w:t>
      </w:r>
    </w:p>
    <w:p w14:paraId="7EB77544" w14:textId="6D7326E9" w:rsidR="00983E5E" w:rsidRDefault="00983E5E" w:rsidP="004B137A">
      <w:pPr>
        <w:spacing w:before="60" w:after="60"/>
        <w:ind w:firstLine="720"/>
        <w:jc w:val="both"/>
      </w:pPr>
      <w:r w:rsidRPr="00983E5E">
        <w:t>Điều 9. Kinh phí bảo vệ, đầu tư tôn tạo di tích</w:t>
      </w:r>
    </w:p>
    <w:p w14:paraId="75A8AD28" w14:textId="19F19E46" w:rsidR="00983E5E" w:rsidRPr="000205CD" w:rsidRDefault="00983E5E" w:rsidP="004B137A">
      <w:pPr>
        <w:spacing w:before="60" w:after="60"/>
        <w:ind w:firstLine="720"/>
        <w:jc w:val="both"/>
      </w:pPr>
      <w:r w:rsidRPr="00983E5E">
        <w:t>Điều 10. Điều khoản thi hành</w:t>
      </w:r>
    </w:p>
    <w:p w14:paraId="1B07C7CB" w14:textId="6458A30B" w:rsidR="00787CAE" w:rsidRPr="005F3EB3" w:rsidRDefault="00336499" w:rsidP="004B137A">
      <w:pPr>
        <w:pStyle w:val="NormalWeb"/>
        <w:shd w:val="clear" w:color="auto" w:fill="FFFFFF"/>
        <w:spacing w:before="60" w:beforeAutospacing="0" w:after="60" w:afterAutospacing="0"/>
        <w:ind w:left="720"/>
        <w:rPr>
          <w:b/>
          <w:sz w:val="28"/>
          <w:szCs w:val="28"/>
        </w:rPr>
      </w:pPr>
      <w:r w:rsidRPr="005F3EB3">
        <w:rPr>
          <w:b/>
          <w:sz w:val="28"/>
          <w:szCs w:val="28"/>
        </w:rPr>
        <w:t>3</w:t>
      </w:r>
      <w:r w:rsidR="004F0DAF" w:rsidRPr="005F3EB3">
        <w:rPr>
          <w:b/>
          <w:sz w:val="28"/>
          <w:szCs w:val="28"/>
        </w:rPr>
        <w:t>. Nội dung cơ bản của dự thảo văn bản</w:t>
      </w:r>
    </w:p>
    <w:p w14:paraId="4A07FF62" w14:textId="28E91BA7" w:rsidR="00F63CB7" w:rsidRPr="002D06AD" w:rsidRDefault="00787CAE" w:rsidP="004B137A">
      <w:pPr>
        <w:pStyle w:val="NormalWeb"/>
        <w:shd w:val="clear" w:color="auto" w:fill="FFFFFF"/>
        <w:spacing w:before="60" w:beforeAutospacing="0" w:after="60" w:afterAutospacing="0"/>
        <w:ind w:firstLine="720"/>
        <w:jc w:val="both"/>
        <w:rPr>
          <w:sz w:val="28"/>
          <w:szCs w:val="28"/>
        </w:rPr>
      </w:pPr>
      <w:r w:rsidRPr="002D06AD">
        <w:rPr>
          <w:sz w:val="28"/>
          <w:szCs w:val="28"/>
        </w:rPr>
        <w:t xml:space="preserve">Quy chế này </w:t>
      </w:r>
      <w:r w:rsidR="00021AF2" w:rsidRPr="002D06AD">
        <w:rPr>
          <w:sz w:val="28"/>
          <w:szCs w:val="28"/>
        </w:rPr>
        <w:t xml:space="preserve">phân cấp quyền quản lý di tích lịch sử - văn hóa, danh lam thắng cảnh, di vật, cổ vật, bảo vật quốc gia trên địa bàn tỉnh Tuyên Quang </w:t>
      </w:r>
      <w:r w:rsidR="002D06AD" w:rsidRPr="002D06AD">
        <w:rPr>
          <w:sz w:val="28"/>
          <w:szCs w:val="28"/>
        </w:rPr>
        <w:t xml:space="preserve">và </w:t>
      </w:r>
      <w:r w:rsidRPr="002D06AD">
        <w:rPr>
          <w:sz w:val="28"/>
          <w:szCs w:val="28"/>
        </w:rPr>
        <w:t>quy định nguyên tắc, nội dung</w:t>
      </w:r>
      <w:r w:rsidR="002D06AD" w:rsidRPr="002D06AD">
        <w:rPr>
          <w:sz w:val="28"/>
          <w:szCs w:val="28"/>
        </w:rPr>
        <w:t xml:space="preserve">, </w:t>
      </w:r>
      <w:r w:rsidRPr="002D06AD">
        <w:rPr>
          <w:sz w:val="28"/>
          <w:szCs w:val="28"/>
        </w:rPr>
        <w:t>trách nhiệm phối hợp giữa các cơ quan</w:t>
      </w:r>
      <w:r w:rsidR="00F63CB7" w:rsidRPr="002D06AD">
        <w:rPr>
          <w:sz w:val="28"/>
          <w:szCs w:val="28"/>
        </w:rPr>
        <w:t xml:space="preserve">, đơn vị </w:t>
      </w:r>
      <w:r w:rsidRPr="002D06AD">
        <w:rPr>
          <w:sz w:val="28"/>
          <w:szCs w:val="28"/>
        </w:rPr>
        <w:t xml:space="preserve">trên địa bàn tỉnh Tuyên Quang trong </w:t>
      </w:r>
      <w:r w:rsidR="004A483A" w:rsidRPr="002D06AD">
        <w:rPr>
          <w:sz w:val="28"/>
          <w:szCs w:val="28"/>
        </w:rPr>
        <w:t xml:space="preserve">quản lý, bảo vệ và phát huy giá trị </w:t>
      </w:r>
      <w:bookmarkStart w:id="11" w:name="_Hlk224224714"/>
      <w:r w:rsidR="004A483A" w:rsidRPr="002D06AD">
        <w:rPr>
          <w:sz w:val="28"/>
          <w:szCs w:val="28"/>
        </w:rPr>
        <w:t>di tích lịch sử - văn hóa, danh lam thắng cảnh, di vật, cổ vật, bảo vật quốc gia trên địa bàn tỉnh Tuyên Quang</w:t>
      </w:r>
      <w:bookmarkEnd w:id="11"/>
      <w:r w:rsidR="004A483A" w:rsidRPr="002D06AD">
        <w:rPr>
          <w:sz w:val="28"/>
          <w:szCs w:val="28"/>
        </w:rPr>
        <w:t>.</w:t>
      </w:r>
    </w:p>
    <w:p w14:paraId="1DCDDE96" w14:textId="2D5CCB50" w:rsidR="0070298C" w:rsidRPr="002D06AD" w:rsidRDefault="0070298C" w:rsidP="004B137A">
      <w:pPr>
        <w:pStyle w:val="NormalWeb"/>
        <w:pBdr>
          <w:bottom w:val="none" w:sz="4" w:space="22" w:color="000000"/>
        </w:pBdr>
        <w:shd w:val="clear" w:color="auto" w:fill="FFFFFF"/>
        <w:spacing w:before="60" w:beforeAutospacing="0" w:after="60" w:afterAutospacing="0"/>
        <w:ind w:firstLine="709"/>
        <w:jc w:val="both"/>
        <w:rPr>
          <w:b/>
          <w:bCs/>
          <w:sz w:val="28"/>
          <w:szCs w:val="28"/>
        </w:rPr>
      </w:pPr>
      <w:r w:rsidRPr="002D06AD">
        <w:rPr>
          <w:b/>
          <w:bCs/>
          <w:sz w:val="28"/>
          <w:szCs w:val="28"/>
        </w:rPr>
        <w:t>V. D</w:t>
      </w:r>
      <w:r w:rsidRPr="002D06AD">
        <w:rPr>
          <w:b/>
          <w:bCs/>
          <w:sz w:val="28"/>
          <w:szCs w:val="28"/>
          <w:lang w:val="vi-VN"/>
        </w:rPr>
        <w:t>Ự KIẾN NGUỒN LỰC, ĐIỀU KIỆN BẢO ĐẢM CHO VIỆC THI H</w:t>
      </w:r>
      <w:r w:rsidRPr="002D06AD">
        <w:rPr>
          <w:b/>
          <w:bCs/>
          <w:sz w:val="28"/>
          <w:szCs w:val="28"/>
        </w:rPr>
        <w:t>ÀNH VĂN B</w:t>
      </w:r>
      <w:r w:rsidRPr="002D06AD">
        <w:rPr>
          <w:b/>
          <w:bCs/>
          <w:sz w:val="28"/>
          <w:szCs w:val="28"/>
          <w:lang w:val="vi-VN"/>
        </w:rPr>
        <w:t>ẢN V</w:t>
      </w:r>
      <w:r w:rsidRPr="002D06AD">
        <w:rPr>
          <w:b/>
          <w:bCs/>
          <w:sz w:val="28"/>
          <w:szCs w:val="28"/>
        </w:rPr>
        <w:t>À TH</w:t>
      </w:r>
      <w:r w:rsidRPr="002D06AD">
        <w:rPr>
          <w:b/>
          <w:bCs/>
          <w:sz w:val="28"/>
          <w:szCs w:val="28"/>
          <w:lang w:val="vi-VN"/>
        </w:rPr>
        <w:t>ỜI GIAN TR</w:t>
      </w:r>
      <w:r w:rsidRPr="002D06AD">
        <w:rPr>
          <w:b/>
          <w:bCs/>
          <w:sz w:val="28"/>
          <w:szCs w:val="28"/>
        </w:rPr>
        <w:t>ÌNH BAN HÀNH</w:t>
      </w:r>
    </w:p>
    <w:p w14:paraId="2A5D05E8" w14:textId="77777777" w:rsidR="00F31DF9" w:rsidRPr="002D06AD" w:rsidRDefault="00F31DF9" w:rsidP="004B137A">
      <w:pPr>
        <w:pStyle w:val="NormalWeb"/>
        <w:pBdr>
          <w:bottom w:val="none" w:sz="4" w:space="22" w:color="000000"/>
        </w:pBdr>
        <w:shd w:val="clear" w:color="auto" w:fill="FFFFFF"/>
        <w:spacing w:before="60" w:beforeAutospacing="0" w:after="60" w:afterAutospacing="0"/>
        <w:ind w:firstLine="709"/>
        <w:jc w:val="both"/>
        <w:rPr>
          <w:sz w:val="28"/>
          <w:szCs w:val="28"/>
        </w:rPr>
      </w:pPr>
      <w:r w:rsidRPr="002D06AD">
        <w:rPr>
          <w:b/>
          <w:bCs/>
          <w:sz w:val="28"/>
          <w:szCs w:val="28"/>
        </w:rPr>
        <w:t>1.</w:t>
      </w:r>
      <w:r w:rsidRPr="002D06AD">
        <w:rPr>
          <w:sz w:val="28"/>
          <w:szCs w:val="28"/>
        </w:rPr>
        <w:t xml:space="preserve"> Dự kiến nguồn lực: Không phát sinh kinh phí thực hiện. </w:t>
      </w:r>
    </w:p>
    <w:p w14:paraId="36D991F4" w14:textId="013DD695" w:rsidR="00F31DF9" w:rsidRPr="002D06AD" w:rsidRDefault="00F31DF9" w:rsidP="004B137A">
      <w:pPr>
        <w:pStyle w:val="NormalWeb"/>
        <w:pBdr>
          <w:bottom w:val="none" w:sz="4" w:space="22" w:color="000000"/>
        </w:pBdr>
        <w:shd w:val="clear" w:color="auto" w:fill="FFFFFF"/>
        <w:spacing w:before="60" w:beforeAutospacing="0" w:after="60" w:afterAutospacing="0"/>
        <w:ind w:firstLine="709"/>
        <w:jc w:val="both"/>
        <w:rPr>
          <w:sz w:val="28"/>
          <w:szCs w:val="28"/>
        </w:rPr>
      </w:pPr>
      <w:r w:rsidRPr="002D06AD">
        <w:rPr>
          <w:b/>
          <w:bCs/>
          <w:sz w:val="28"/>
          <w:szCs w:val="28"/>
        </w:rPr>
        <w:t>2.</w:t>
      </w:r>
      <w:r w:rsidRPr="002D06AD">
        <w:rPr>
          <w:sz w:val="28"/>
          <w:szCs w:val="28"/>
        </w:rPr>
        <w:t xml:space="preserve"> Điều kiện đảm bảo cho việc thi hành văn bản: Đảm bảo việc thi hành Hiến pháp, pháp luật; phù hợp với </w:t>
      </w:r>
      <w:r w:rsidR="00737285" w:rsidRPr="002D06AD">
        <w:rPr>
          <w:sz w:val="28"/>
          <w:szCs w:val="28"/>
        </w:rPr>
        <w:t xml:space="preserve">các quy định </w:t>
      </w:r>
      <w:r w:rsidRPr="002D06AD">
        <w:rPr>
          <w:sz w:val="28"/>
          <w:szCs w:val="28"/>
        </w:rPr>
        <w:t xml:space="preserve">về ban hành văn bản quy phạm pháp luật và các văn bản pháp luật có liên quan. </w:t>
      </w:r>
    </w:p>
    <w:p w14:paraId="2FA932A3" w14:textId="6FF60F7D" w:rsidR="00F31DF9" w:rsidRPr="002D06AD" w:rsidRDefault="00F31DF9" w:rsidP="004B137A">
      <w:pPr>
        <w:pStyle w:val="NormalWeb"/>
        <w:pBdr>
          <w:bottom w:val="none" w:sz="4" w:space="22" w:color="000000"/>
        </w:pBdr>
        <w:shd w:val="clear" w:color="auto" w:fill="FFFFFF"/>
        <w:spacing w:before="60" w:beforeAutospacing="0" w:after="60" w:afterAutospacing="0"/>
        <w:ind w:firstLine="709"/>
        <w:jc w:val="both"/>
        <w:rPr>
          <w:sz w:val="28"/>
          <w:szCs w:val="28"/>
        </w:rPr>
      </w:pPr>
      <w:r w:rsidRPr="002D06AD">
        <w:rPr>
          <w:b/>
          <w:bCs/>
          <w:sz w:val="28"/>
          <w:szCs w:val="28"/>
        </w:rPr>
        <w:t>3.</w:t>
      </w:r>
      <w:r w:rsidRPr="002D06AD">
        <w:rPr>
          <w:sz w:val="28"/>
          <w:szCs w:val="28"/>
        </w:rPr>
        <w:t xml:space="preserve"> Thời gian ban hành: </w:t>
      </w:r>
      <w:r w:rsidR="002D06AD" w:rsidRPr="002D06AD">
        <w:rPr>
          <w:sz w:val="28"/>
          <w:szCs w:val="28"/>
        </w:rPr>
        <w:t>T</w:t>
      </w:r>
      <w:r w:rsidRPr="002D06AD">
        <w:rPr>
          <w:sz w:val="28"/>
          <w:szCs w:val="28"/>
        </w:rPr>
        <w:t>rong tháng 4/2026.</w:t>
      </w:r>
    </w:p>
    <w:p w14:paraId="34BA735B" w14:textId="69315E83" w:rsidR="0070298C" w:rsidRPr="00AF5406" w:rsidRDefault="0070298C" w:rsidP="004B137A">
      <w:pPr>
        <w:pStyle w:val="NormalWeb"/>
        <w:pBdr>
          <w:bottom w:val="none" w:sz="4" w:space="22" w:color="000000"/>
        </w:pBdr>
        <w:shd w:val="clear" w:color="auto" w:fill="FFFFFF"/>
        <w:spacing w:before="60" w:beforeAutospacing="0" w:after="60" w:afterAutospacing="0"/>
        <w:ind w:firstLine="709"/>
        <w:jc w:val="both"/>
        <w:rPr>
          <w:sz w:val="28"/>
          <w:szCs w:val="28"/>
        </w:rPr>
      </w:pPr>
      <w:r w:rsidRPr="00AF5406">
        <w:rPr>
          <w:spacing w:val="6"/>
          <w:sz w:val="28"/>
          <w:szCs w:val="28"/>
        </w:rPr>
        <w:t xml:space="preserve">Trên đây là Tờ trình dự thảo </w:t>
      </w:r>
      <w:r w:rsidR="00AC2F03" w:rsidRPr="00AF5406">
        <w:rPr>
          <w:sz w:val="28"/>
          <w:szCs w:val="28"/>
        </w:rPr>
        <w:t>Quyết định ban hành Quy chế</w:t>
      </w:r>
      <w:r w:rsidR="004331A1" w:rsidRPr="00AF5406">
        <w:rPr>
          <w:sz w:val="28"/>
          <w:szCs w:val="28"/>
        </w:rPr>
        <w:t xml:space="preserve"> quản lý, bảo vệ và phát huy giá trị di tích lịch sử - văn hóa, danh lam thắng cảnh, di vật, cổ vật, bảo vật quốc gia trên địa bàn tỉnh Tuyên Quang</w:t>
      </w:r>
      <w:r w:rsidRPr="00AF5406">
        <w:rPr>
          <w:sz w:val="28"/>
          <w:szCs w:val="28"/>
        </w:rPr>
        <w:t xml:space="preserve">, </w:t>
      </w:r>
      <w:r w:rsidR="00AC2F03" w:rsidRPr="00AF5406">
        <w:rPr>
          <w:sz w:val="28"/>
          <w:szCs w:val="28"/>
        </w:rPr>
        <w:t>Sở Văn hoá, Thể thao và Du lịch</w:t>
      </w:r>
      <w:r w:rsidRPr="00AF5406">
        <w:rPr>
          <w:sz w:val="28"/>
          <w:szCs w:val="28"/>
        </w:rPr>
        <w:t xml:space="preserve"> kính trình </w:t>
      </w:r>
      <w:r w:rsidR="00AC2F03" w:rsidRPr="00AF5406">
        <w:rPr>
          <w:sz w:val="28"/>
          <w:szCs w:val="28"/>
        </w:rPr>
        <w:t>Uỷ ban nhân dân</w:t>
      </w:r>
      <w:r w:rsidRPr="00AF5406">
        <w:rPr>
          <w:sz w:val="28"/>
          <w:szCs w:val="28"/>
        </w:rPr>
        <w:t xml:space="preserve"> tỉnh xem xét, quyết định.</w:t>
      </w:r>
    </w:p>
    <w:p w14:paraId="53C3BB2B" w14:textId="3ABC3574" w:rsidR="00D139A0" w:rsidRPr="00AF5406" w:rsidRDefault="0070298C" w:rsidP="004B137A">
      <w:pPr>
        <w:pStyle w:val="NormalWeb"/>
        <w:pBdr>
          <w:bottom w:val="none" w:sz="4" w:space="22" w:color="000000"/>
        </w:pBdr>
        <w:shd w:val="clear" w:color="auto" w:fill="FFFFFF"/>
        <w:spacing w:before="60" w:beforeAutospacing="0" w:after="60" w:afterAutospacing="0"/>
        <w:ind w:firstLine="709"/>
        <w:jc w:val="both"/>
        <w:rPr>
          <w:i/>
          <w:iCs/>
          <w:spacing w:val="-4"/>
          <w:sz w:val="28"/>
          <w:szCs w:val="28"/>
        </w:rPr>
      </w:pPr>
      <w:r w:rsidRPr="00AF5406">
        <w:rPr>
          <w:i/>
          <w:iCs/>
          <w:spacing w:val="-4"/>
          <w:sz w:val="28"/>
          <w:szCs w:val="28"/>
        </w:rPr>
        <w:t>(Xin gửi kèm theo</w:t>
      </w:r>
      <w:r w:rsidR="00447F80" w:rsidRPr="00AF5406">
        <w:rPr>
          <w:i/>
          <w:iCs/>
          <w:spacing w:val="-4"/>
          <w:sz w:val="28"/>
          <w:szCs w:val="28"/>
        </w:rPr>
        <w:t>: (1)</w:t>
      </w:r>
      <w:r w:rsidRPr="00AF5406">
        <w:rPr>
          <w:i/>
          <w:iCs/>
          <w:spacing w:val="-4"/>
          <w:sz w:val="28"/>
          <w:szCs w:val="28"/>
        </w:rPr>
        <w:t xml:space="preserve"> Dự thảo </w:t>
      </w:r>
      <w:r w:rsidR="00277ECD" w:rsidRPr="00AF5406">
        <w:rPr>
          <w:i/>
          <w:iCs/>
          <w:spacing w:val="-4"/>
          <w:sz w:val="28"/>
          <w:szCs w:val="28"/>
        </w:rPr>
        <w:t>Quyết định</w:t>
      </w:r>
      <w:r w:rsidRPr="00AF5406">
        <w:rPr>
          <w:i/>
          <w:iCs/>
          <w:spacing w:val="-4"/>
          <w:sz w:val="28"/>
          <w:szCs w:val="28"/>
        </w:rPr>
        <w:t xml:space="preserve">; </w:t>
      </w:r>
      <w:r w:rsidR="00447F80" w:rsidRPr="00AF5406">
        <w:rPr>
          <w:i/>
          <w:iCs/>
          <w:spacing w:val="-4"/>
          <w:sz w:val="28"/>
          <w:szCs w:val="28"/>
        </w:rPr>
        <w:t xml:space="preserve">(2) dự thảo Quy chế; (3) </w:t>
      </w:r>
      <w:r w:rsidRPr="00AF5406">
        <w:rPr>
          <w:i/>
          <w:iCs/>
          <w:spacing w:val="-4"/>
          <w:sz w:val="28"/>
          <w:szCs w:val="28"/>
        </w:rPr>
        <w:t xml:space="preserve">Báo cáo tổng hợp ý kiến tham gia; </w:t>
      </w:r>
      <w:r w:rsidR="00447F80" w:rsidRPr="00AF5406">
        <w:rPr>
          <w:i/>
          <w:iCs/>
          <w:spacing w:val="-4"/>
          <w:sz w:val="28"/>
          <w:szCs w:val="28"/>
        </w:rPr>
        <w:t xml:space="preserve">(4) </w:t>
      </w:r>
      <w:r w:rsidR="00277ECD" w:rsidRPr="00AF5406">
        <w:rPr>
          <w:i/>
          <w:iCs/>
          <w:spacing w:val="-4"/>
          <w:sz w:val="28"/>
          <w:szCs w:val="28"/>
        </w:rPr>
        <w:t xml:space="preserve">Báo cáo thẩm định của Sở Tư pháp; </w:t>
      </w:r>
      <w:r w:rsidR="00AF5406" w:rsidRPr="00AF5406">
        <w:rPr>
          <w:i/>
          <w:iCs/>
          <w:spacing w:val="-4"/>
          <w:sz w:val="28"/>
          <w:szCs w:val="28"/>
        </w:rPr>
        <w:t xml:space="preserve">(5) </w:t>
      </w:r>
      <w:r w:rsidRPr="00AF5406">
        <w:rPr>
          <w:i/>
          <w:iCs/>
          <w:spacing w:val="-4"/>
          <w:sz w:val="28"/>
          <w:szCs w:val="28"/>
        </w:rPr>
        <w:t xml:space="preserve">Báo cáo giải trình Báo cáo thẩm định; </w:t>
      </w:r>
      <w:r w:rsidR="00AF5406" w:rsidRPr="00AF5406">
        <w:rPr>
          <w:i/>
          <w:iCs/>
          <w:spacing w:val="-4"/>
          <w:sz w:val="28"/>
          <w:szCs w:val="28"/>
        </w:rPr>
        <w:t xml:space="preserve">(6) </w:t>
      </w:r>
      <w:r w:rsidRPr="00AF5406">
        <w:rPr>
          <w:i/>
          <w:spacing w:val="-4"/>
          <w:sz w:val="28"/>
          <w:szCs w:val="28"/>
        </w:rPr>
        <w:t>Bản so sánh, thuyết minh nội dung dự thảo</w:t>
      </w:r>
      <w:r w:rsidRPr="00AF5406">
        <w:rPr>
          <w:i/>
          <w:iCs/>
          <w:spacing w:val="-4"/>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7A43CC" w:rsidRPr="000954EF" w14:paraId="7CA3F251" w14:textId="77777777" w:rsidTr="00BE4338">
        <w:tc>
          <w:tcPr>
            <w:tcW w:w="4672" w:type="dxa"/>
          </w:tcPr>
          <w:p w14:paraId="16F03824" w14:textId="77777777" w:rsidR="007A43CC" w:rsidRPr="009C036E" w:rsidRDefault="007A43CC" w:rsidP="00BE4338">
            <w:pPr>
              <w:jc w:val="both"/>
              <w:rPr>
                <w:b/>
                <w:bCs/>
                <w:i/>
                <w:iCs/>
                <w:sz w:val="24"/>
                <w:szCs w:val="24"/>
              </w:rPr>
            </w:pPr>
            <w:r w:rsidRPr="009C036E">
              <w:rPr>
                <w:b/>
                <w:bCs/>
                <w:i/>
                <w:iCs/>
                <w:sz w:val="24"/>
                <w:szCs w:val="24"/>
              </w:rPr>
              <w:t>Nơi nhận:</w:t>
            </w:r>
          </w:p>
          <w:p w14:paraId="18A6768D" w14:textId="0AE1F262" w:rsidR="007A43CC" w:rsidRPr="009C036E" w:rsidRDefault="007A43CC" w:rsidP="00BE4338">
            <w:pPr>
              <w:jc w:val="both"/>
              <w:rPr>
                <w:sz w:val="22"/>
                <w:szCs w:val="22"/>
              </w:rPr>
            </w:pPr>
            <w:r w:rsidRPr="009C036E">
              <w:rPr>
                <w:sz w:val="22"/>
                <w:szCs w:val="22"/>
              </w:rPr>
              <w:t xml:space="preserve">- </w:t>
            </w:r>
            <w:r w:rsidR="00DC7724">
              <w:rPr>
                <w:sz w:val="22"/>
                <w:szCs w:val="22"/>
              </w:rPr>
              <w:t>Như trên</w:t>
            </w:r>
            <w:r w:rsidRPr="009C036E">
              <w:rPr>
                <w:sz w:val="22"/>
                <w:szCs w:val="22"/>
              </w:rPr>
              <w:t xml:space="preserve">; </w:t>
            </w:r>
          </w:p>
          <w:p w14:paraId="451EBEE9" w14:textId="77777777" w:rsidR="007A43CC" w:rsidRPr="009C036E" w:rsidRDefault="007A43CC" w:rsidP="00BE4338">
            <w:pPr>
              <w:jc w:val="both"/>
              <w:rPr>
                <w:sz w:val="22"/>
                <w:szCs w:val="22"/>
              </w:rPr>
            </w:pPr>
            <w:r w:rsidRPr="009C036E">
              <w:rPr>
                <w:sz w:val="22"/>
                <w:szCs w:val="22"/>
              </w:rPr>
              <w:t xml:space="preserve">- Sở Tư pháp; </w:t>
            </w:r>
          </w:p>
          <w:p w14:paraId="478ED99E" w14:textId="15BCDF93" w:rsidR="007A43CC" w:rsidRPr="009C036E" w:rsidRDefault="007A43CC" w:rsidP="00BE4338">
            <w:pPr>
              <w:jc w:val="both"/>
              <w:rPr>
                <w:sz w:val="22"/>
                <w:szCs w:val="22"/>
              </w:rPr>
            </w:pPr>
            <w:r w:rsidRPr="009C036E">
              <w:rPr>
                <w:sz w:val="22"/>
                <w:szCs w:val="22"/>
              </w:rPr>
              <w:t xml:space="preserve">- </w:t>
            </w:r>
            <w:r w:rsidR="00654A90">
              <w:rPr>
                <w:sz w:val="22"/>
                <w:szCs w:val="22"/>
              </w:rPr>
              <w:t xml:space="preserve">Các </w:t>
            </w:r>
            <w:r w:rsidR="0005241D">
              <w:rPr>
                <w:sz w:val="22"/>
                <w:szCs w:val="22"/>
              </w:rPr>
              <w:t xml:space="preserve">đ/c </w:t>
            </w:r>
            <w:r w:rsidR="00654A90">
              <w:rPr>
                <w:sz w:val="22"/>
                <w:szCs w:val="22"/>
              </w:rPr>
              <w:t>Phó Giám đốc Sở;</w:t>
            </w:r>
          </w:p>
          <w:p w14:paraId="4E3F6E98" w14:textId="77777777" w:rsidR="007A43CC" w:rsidRPr="009C036E" w:rsidRDefault="007A43CC" w:rsidP="00BE4338">
            <w:pPr>
              <w:jc w:val="both"/>
              <w:rPr>
                <w:sz w:val="22"/>
                <w:szCs w:val="22"/>
              </w:rPr>
            </w:pPr>
            <w:r w:rsidRPr="009C036E">
              <w:rPr>
                <w:sz w:val="22"/>
                <w:szCs w:val="22"/>
              </w:rPr>
              <w:t xml:space="preserve">- Các phòng chuyên môn; </w:t>
            </w:r>
          </w:p>
          <w:p w14:paraId="03DB8F8D" w14:textId="2F02F87B" w:rsidR="00AF5406" w:rsidRDefault="007A43CC" w:rsidP="00AF5406">
            <w:pPr>
              <w:jc w:val="both"/>
              <w:rPr>
                <w:sz w:val="22"/>
                <w:szCs w:val="22"/>
              </w:rPr>
            </w:pPr>
            <w:r w:rsidRPr="009C036E">
              <w:rPr>
                <w:sz w:val="22"/>
                <w:szCs w:val="22"/>
              </w:rPr>
              <w:t xml:space="preserve">- </w:t>
            </w:r>
            <w:r w:rsidR="00AF5406">
              <w:rPr>
                <w:sz w:val="22"/>
                <w:szCs w:val="22"/>
              </w:rPr>
              <w:t>Bảo tàng tỉnh;</w:t>
            </w:r>
          </w:p>
          <w:p w14:paraId="20034374" w14:textId="7068B0BF" w:rsidR="00AF5406" w:rsidRDefault="00AF5406" w:rsidP="00AF5406">
            <w:pPr>
              <w:jc w:val="both"/>
              <w:rPr>
                <w:sz w:val="22"/>
                <w:szCs w:val="22"/>
              </w:rPr>
            </w:pPr>
            <w:r>
              <w:rPr>
                <w:sz w:val="22"/>
                <w:szCs w:val="22"/>
              </w:rPr>
              <w:t xml:space="preserve">- Bảo tàng </w:t>
            </w:r>
            <w:r w:rsidR="00930300">
              <w:rPr>
                <w:sz w:val="22"/>
                <w:szCs w:val="22"/>
              </w:rPr>
              <w:t>ATK Tân Trào;</w:t>
            </w:r>
          </w:p>
          <w:p w14:paraId="7B518266" w14:textId="537CAAB6" w:rsidR="00930300" w:rsidRDefault="00930300" w:rsidP="00AF5406">
            <w:pPr>
              <w:jc w:val="both"/>
              <w:rPr>
                <w:sz w:val="22"/>
                <w:szCs w:val="22"/>
              </w:rPr>
            </w:pPr>
            <w:r>
              <w:rPr>
                <w:sz w:val="22"/>
                <w:szCs w:val="22"/>
              </w:rPr>
              <w:t xml:space="preserve">- </w:t>
            </w:r>
            <w:r w:rsidR="0005241D" w:rsidRPr="0005241D">
              <w:rPr>
                <w:sz w:val="22"/>
                <w:szCs w:val="22"/>
              </w:rPr>
              <w:t>BQL CVĐCTC CNĐĐV;</w:t>
            </w:r>
          </w:p>
          <w:p w14:paraId="67C9729E" w14:textId="122A356A" w:rsidR="007A43CC" w:rsidRPr="00654A90" w:rsidRDefault="007A43CC" w:rsidP="00AF5406">
            <w:pPr>
              <w:jc w:val="both"/>
              <w:rPr>
                <w:vertAlign w:val="subscript"/>
              </w:rPr>
            </w:pPr>
            <w:r w:rsidRPr="009C036E">
              <w:rPr>
                <w:sz w:val="22"/>
                <w:szCs w:val="22"/>
              </w:rPr>
              <w:t>- Lưu: VT</w:t>
            </w:r>
            <w:r w:rsidR="00654A90">
              <w:rPr>
                <w:sz w:val="22"/>
                <w:szCs w:val="22"/>
              </w:rPr>
              <w:t xml:space="preserve">, QLDSVH </w:t>
            </w:r>
            <w:r w:rsidR="00654A90">
              <w:rPr>
                <w:sz w:val="22"/>
                <w:szCs w:val="22"/>
                <w:vertAlign w:val="subscript"/>
              </w:rPr>
              <w:t>(Xiêm).</w:t>
            </w:r>
          </w:p>
        </w:tc>
        <w:tc>
          <w:tcPr>
            <w:tcW w:w="4673" w:type="dxa"/>
          </w:tcPr>
          <w:p w14:paraId="363F04A5" w14:textId="77777777" w:rsidR="007A43CC" w:rsidRPr="009C036E" w:rsidRDefault="00BE4338" w:rsidP="00BE4338">
            <w:pPr>
              <w:spacing w:before="80" w:after="80"/>
              <w:rPr>
                <w:b/>
                <w:bCs/>
              </w:rPr>
            </w:pPr>
            <w:r w:rsidRPr="009C036E">
              <w:rPr>
                <w:b/>
                <w:bCs/>
              </w:rPr>
              <w:t>GIÁM ĐỐC</w:t>
            </w:r>
          </w:p>
          <w:p w14:paraId="195BBE50" w14:textId="77777777" w:rsidR="00BE4338" w:rsidRPr="009C036E" w:rsidRDefault="00BE4338" w:rsidP="00BE4338">
            <w:pPr>
              <w:spacing w:before="80" w:after="80"/>
              <w:jc w:val="both"/>
              <w:rPr>
                <w:b/>
                <w:bCs/>
              </w:rPr>
            </w:pPr>
          </w:p>
          <w:p w14:paraId="6FA0B111" w14:textId="77777777" w:rsidR="00BE4338" w:rsidRPr="009C036E" w:rsidRDefault="00BE4338" w:rsidP="00BE4338">
            <w:pPr>
              <w:spacing w:before="80" w:after="80"/>
              <w:jc w:val="both"/>
              <w:rPr>
                <w:b/>
                <w:bCs/>
              </w:rPr>
            </w:pPr>
          </w:p>
          <w:p w14:paraId="02B5C740" w14:textId="77777777" w:rsidR="00BE4338" w:rsidRPr="009C036E" w:rsidRDefault="00BE4338" w:rsidP="00BE4338">
            <w:pPr>
              <w:spacing w:before="80" w:after="80"/>
              <w:jc w:val="both"/>
              <w:rPr>
                <w:b/>
                <w:bCs/>
              </w:rPr>
            </w:pPr>
          </w:p>
          <w:p w14:paraId="12A98F49" w14:textId="77777777" w:rsidR="00BE4338" w:rsidRPr="009C036E" w:rsidRDefault="00BE4338" w:rsidP="00BE4338">
            <w:pPr>
              <w:spacing w:before="80" w:after="80"/>
              <w:jc w:val="both"/>
              <w:rPr>
                <w:b/>
                <w:bCs/>
              </w:rPr>
            </w:pPr>
          </w:p>
          <w:p w14:paraId="0DEA9D5F" w14:textId="77777777" w:rsidR="00BE4338" w:rsidRPr="009C036E" w:rsidRDefault="00BE4338" w:rsidP="00BE4338">
            <w:pPr>
              <w:spacing w:before="80" w:after="80"/>
            </w:pPr>
            <w:r w:rsidRPr="009C036E">
              <w:rPr>
                <w:b/>
                <w:bCs/>
              </w:rPr>
              <w:t>Nguyễn Trung Ngọc</w:t>
            </w:r>
          </w:p>
        </w:tc>
      </w:tr>
    </w:tbl>
    <w:p w14:paraId="3893FF18" w14:textId="77777777" w:rsidR="007A43CC" w:rsidRPr="000954EF" w:rsidRDefault="007A43CC" w:rsidP="0036709F">
      <w:pPr>
        <w:spacing w:before="80" w:after="80"/>
        <w:jc w:val="both"/>
      </w:pPr>
    </w:p>
    <w:sectPr w:rsidR="007A43CC" w:rsidRPr="000954EF" w:rsidSect="00A63F59">
      <w:headerReference w:type="default" r:id="rId6"/>
      <w:pgSz w:w="11907" w:h="16840" w:code="9"/>
      <w:pgMar w:top="1134" w:right="1134"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B7C4F" w14:textId="77777777" w:rsidR="009B0498" w:rsidRDefault="009B0498" w:rsidP="000B6ECC">
      <w:r>
        <w:separator/>
      </w:r>
    </w:p>
  </w:endnote>
  <w:endnote w:type="continuationSeparator" w:id="0">
    <w:p w14:paraId="7A4C60F4" w14:textId="77777777" w:rsidR="009B0498" w:rsidRDefault="009B0498" w:rsidP="000B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5AF16" w14:textId="77777777" w:rsidR="009B0498" w:rsidRDefault="009B0498" w:rsidP="000B6ECC">
      <w:r>
        <w:separator/>
      </w:r>
    </w:p>
  </w:footnote>
  <w:footnote w:type="continuationSeparator" w:id="0">
    <w:p w14:paraId="2F8A093B" w14:textId="77777777" w:rsidR="009B0498" w:rsidRDefault="009B0498" w:rsidP="000B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108223"/>
      <w:docPartObj>
        <w:docPartGallery w:val="Page Numbers (Top of Page)"/>
        <w:docPartUnique/>
      </w:docPartObj>
    </w:sdtPr>
    <w:sdtEndPr>
      <w:rPr>
        <w:noProof/>
      </w:rPr>
    </w:sdtEndPr>
    <w:sdtContent>
      <w:p w14:paraId="7934CDDF" w14:textId="767F90DC" w:rsidR="000B6ECC" w:rsidRDefault="000B6ECC">
        <w:pPr>
          <w:pStyle w:val="Header"/>
        </w:pPr>
        <w:r>
          <w:fldChar w:fldCharType="begin"/>
        </w:r>
        <w:r>
          <w:instrText xml:space="preserve"> PAGE   \* MERGEFORMAT </w:instrText>
        </w:r>
        <w:r>
          <w:fldChar w:fldCharType="separate"/>
        </w:r>
        <w:r>
          <w:rPr>
            <w:noProof/>
          </w:rPr>
          <w:t>2</w:t>
        </w:r>
        <w:r>
          <w:rPr>
            <w:noProof/>
          </w:rPr>
          <w:fldChar w:fldCharType="end"/>
        </w:r>
      </w:p>
    </w:sdtContent>
  </w:sdt>
  <w:p w14:paraId="055C1F0A" w14:textId="77777777" w:rsidR="000B6ECC" w:rsidRDefault="000B6E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2A"/>
    <w:rsid w:val="00000E79"/>
    <w:rsid w:val="000205CD"/>
    <w:rsid w:val="00021AF2"/>
    <w:rsid w:val="00030A19"/>
    <w:rsid w:val="00032008"/>
    <w:rsid w:val="000327A6"/>
    <w:rsid w:val="00043515"/>
    <w:rsid w:val="00047FEA"/>
    <w:rsid w:val="0005241D"/>
    <w:rsid w:val="000564D0"/>
    <w:rsid w:val="000710C9"/>
    <w:rsid w:val="00082D45"/>
    <w:rsid w:val="00086A9A"/>
    <w:rsid w:val="000904F8"/>
    <w:rsid w:val="00091C11"/>
    <w:rsid w:val="0009204E"/>
    <w:rsid w:val="000954EF"/>
    <w:rsid w:val="000A4BEB"/>
    <w:rsid w:val="000B2491"/>
    <w:rsid w:val="000B6ECC"/>
    <w:rsid w:val="000C540F"/>
    <w:rsid w:val="000D1977"/>
    <w:rsid w:val="001219C0"/>
    <w:rsid w:val="00125AAE"/>
    <w:rsid w:val="00134B4A"/>
    <w:rsid w:val="0014353F"/>
    <w:rsid w:val="001505DB"/>
    <w:rsid w:val="00191C1D"/>
    <w:rsid w:val="001A2210"/>
    <w:rsid w:val="001D33D6"/>
    <w:rsid w:val="001E7E06"/>
    <w:rsid w:val="002153A3"/>
    <w:rsid w:val="00227B2C"/>
    <w:rsid w:val="00245DD7"/>
    <w:rsid w:val="002742C8"/>
    <w:rsid w:val="00277ECD"/>
    <w:rsid w:val="002910FA"/>
    <w:rsid w:val="002952AE"/>
    <w:rsid w:val="002A11AE"/>
    <w:rsid w:val="002A1639"/>
    <w:rsid w:val="002A21C8"/>
    <w:rsid w:val="002A27AB"/>
    <w:rsid w:val="002C3516"/>
    <w:rsid w:val="002C3DE9"/>
    <w:rsid w:val="002C44E7"/>
    <w:rsid w:val="002D06AD"/>
    <w:rsid w:val="002D24D6"/>
    <w:rsid w:val="002F1340"/>
    <w:rsid w:val="00302B48"/>
    <w:rsid w:val="00303E37"/>
    <w:rsid w:val="00312EE2"/>
    <w:rsid w:val="00314C10"/>
    <w:rsid w:val="0033612D"/>
    <w:rsid w:val="00336499"/>
    <w:rsid w:val="00341A88"/>
    <w:rsid w:val="00342CBD"/>
    <w:rsid w:val="00344C21"/>
    <w:rsid w:val="00361F5E"/>
    <w:rsid w:val="00361FFE"/>
    <w:rsid w:val="0036709F"/>
    <w:rsid w:val="0037269E"/>
    <w:rsid w:val="00375830"/>
    <w:rsid w:val="00377E27"/>
    <w:rsid w:val="0039412A"/>
    <w:rsid w:val="00395A2C"/>
    <w:rsid w:val="003A4196"/>
    <w:rsid w:val="003B37DA"/>
    <w:rsid w:val="003B61C3"/>
    <w:rsid w:val="003C0B19"/>
    <w:rsid w:val="003C25C8"/>
    <w:rsid w:val="003D5A35"/>
    <w:rsid w:val="00404A55"/>
    <w:rsid w:val="0041154B"/>
    <w:rsid w:val="00420A61"/>
    <w:rsid w:val="004210EB"/>
    <w:rsid w:val="004256B4"/>
    <w:rsid w:val="004331A1"/>
    <w:rsid w:val="00440D6A"/>
    <w:rsid w:val="0044267A"/>
    <w:rsid w:val="00447F80"/>
    <w:rsid w:val="004647D0"/>
    <w:rsid w:val="004917F6"/>
    <w:rsid w:val="00495CE6"/>
    <w:rsid w:val="004A483A"/>
    <w:rsid w:val="004B137A"/>
    <w:rsid w:val="004C5075"/>
    <w:rsid w:val="004C5513"/>
    <w:rsid w:val="004D168F"/>
    <w:rsid w:val="004F0DAF"/>
    <w:rsid w:val="0050213A"/>
    <w:rsid w:val="005021B2"/>
    <w:rsid w:val="0051134E"/>
    <w:rsid w:val="00511E46"/>
    <w:rsid w:val="00521837"/>
    <w:rsid w:val="00536FFE"/>
    <w:rsid w:val="00544759"/>
    <w:rsid w:val="005468A7"/>
    <w:rsid w:val="00556194"/>
    <w:rsid w:val="005B2686"/>
    <w:rsid w:val="005B4D0D"/>
    <w:rsid w:val="005C1EBF"/>
    <w:rsid w:val="005C48A9"/>
    <w:rsid w:val="005C5BA0"/>
    <w:rsid w:val="005F08AF"/>
    <w:rsid w:val="005F3EB3"/>
    <w:rsid w:val="005F4043"/>
    <w:rsid w:val="00602338"/>
    <w:rsid w:val="00620EA9"/>
    <w:rsid w:val="006235F9"/>
    <w:rsid w:val="00623AE2"/>
    <w:rsid w:val="00647E79"/>
    <w:rsid w:val="00651560"/>
    <w:rsid w:val="006546CE"/>
    <w:rsid w:val="00654A90"/>
    <w:rsid w:val="00670D67"/>
    <w:rsid w:val="0068744E"/>
    <w:rsid w:val="006922AE"/>
    <w:rsid w:val="006C0120"/>
    <w:rsid w:val="006D52CE"/>
    <w:rsid w:val="006F534B"/>
    <w:rsid w:val="0070298C"/>
    <w:rsid w:val="0070584A"/>
    <w:rsid w:val="00715D3D"/>
    <w:rsid w:val="0071792D"/>
    <w:rsid w:val="00725422"/>
    <w:rsid w:val="00726F20"/>
    <w:rsid w:val="0073612C"/>
    <w:rsid w:val="00737285"/>
    <w:rsid w:val="00756259"/>
    <w:rsid w:val="00764365"/>
    <w:rsid w:val="00787CAE"/>
    <w:rsid w:val="0079600E"/>
    <w:rsid w:val="007A43CC"/>
    <w:rsid w:val="007F6D13"/>
    <w:rsid w:val="00802A68"/>
    <w:rsid w:val="00804912"/>
    <w:rsid w:val="008105FF"/>
    <w:rsid w:val="00814EEA"/>
    <w:rsid w:val="008165B6"/>
    <w:rsid w:val="00825701"/>
    <w:rsid w:val="0083129E"/>
    <w:rsid w:val="008A073D"/>
    <w:rsid w:val="008B0432"/>
    <w:rsid w:val="008B61A1"/>
    <w:rsid w:val="008B699A"/>
    <w:rsid w:val="008C468C"/>
    <w:rsid w:val="008C7047"/>
    <w:rsid w:val="008D0A8D"/>
    <w:rsid w:val="008E78FA"/>
    <w:rsid w:val="008F27AC"/>
    <w:rsid w:val="008F5567"/>
    <w:rsid w:val="00930300"/>
    <w:rsid w:val="009344A7"/>
    <w:rsid w:val="0095585E"/>
    <w:rsid w:val="00972297"/>
    <w:rsid w:val="009831DC"/>
    <w:rsid w:val="00983E5E"/>
    <w:rsid w:val="00984F09"/>
    <w:rsid w:val="009B0498"/>
    <w:rsid w:val="009C036E"/>
    <w:rsid w:val="009C2380"/>
    <w:rsid w:val="009C604E"/>
    <w:rsid w:val="009C7CEA"/>
    <w:rsid w:val="009D2793"/>
    <w:rsid w:val="009E31E4"/>
    <w:rsid w:val="009F3FD6"/>
    <w:rsid w:val="00A03317"/>
    <w:rsid w:val="00A14039"/>
    <w:rsid w:val="00A20064"/>
    <w:rsid w:val="00A31425"/>
    <w:rsid w:val="00A337F3"/>
    <w:rsid w:val="00A63F59"/>
    <w:rsid w:val="00A64E18"/>
    <w:rsid w:val="00A64F42"/>
    <w:rsid w:val="00A70C70"/>
    <w:rsid w:val="00AB293C"/>
    <w:rsid w:val="00AC2F03"/>
    <w:rsid w:val="00AD291C"/>
    <w:rsid w:val="00AF50BB"/>
    <w:rsid w:val="00AF5406"/>
    <w:rsid w:val="00B0007E"/>
    <w:rsid w:val="00B0221F"/>
    <w:rsid w:val="00B076C6"/>
    <w:rsid w:val="00B11EC5"/>
    <w:rsid w:val="00B27269"/>
    <w:rsid w:val="00B42CE2"/>
    <w:rsid w:val="00B52A1B"/>
    <w:rsid w:val="00B643D4"/>
    <w:rsid w:val="00B81EE9"/>
    <w:rsid w:val="00BA5841"/>
    <w:rsid w:val="00BB07C2"/>
    <w:rsid w:val="00BB3ADF"/>
    <w:rsid w:val="00BC0E3D"/>
    <w:rsid w:val="00BC20D8"/>
    <w:rsid w:val="00BC2580"/>
    <w:rsid w:val="00BD46A3"/>
    <w:rsid w:val="00BE10FE"/>
    <w:rsid w:val="00BE4338"/>
    <w:rsid w:val="00BF0162"/>
    <w:rsid w:val="00C041A4"/>
    <w:rsid w:val="00C06AC5"/>
    <w:rsid w:val="00C3255A"/>
    <w:rsid w:val="00C330C0"/>
    <w:rsid w:val="00C36786"/>
    <w:rsid w:val="00C40FB3"/>
    <w:rsid w:val="00C52FE2"/>
    <w:rsid w:val="00C631A9"/>
    <w:rsid w:val="00C67820"/>
    <w:rsid w:val="00C86776"/>
    <w:rsid w:val="00C9141D"/>
    <w:rsid w:val="00C95070"/>
    <w:rsid w:val="00CA2FDF"/>
    <w:rsid w:val="00CB43C4"/>
    <w:rsid w:val="00CC1063"/>
    <w:rsid w:val="00CD3AB3"/>
    <w:rsid w:val="00CE2849"/>
    <w:rsid w:val="00CF1A93"/>
    <w:rsid w:val="00CF3AB3"/>
    <w:rsid w:val="00D030C7"/>
    <w:rsid w:val="00D11E8F"/>
    <w:rsid w:val="00D12552"/>
    <w:rsid w:val="00D139A0"/>
    <w:rsid w:val="00D1631E"/>
    <w:rsid w:val="00D21241"/>
    <w:rsid w:val="00D37E65"/>
    <w:rsid w:val="00D4756A"/>
    <w:rsid w:val="00D5282E"/>
    <w:rsid w:val="00D638E8"/>
    <w:rsid w:val="00D80DAC"/>
    <w:rsid w:val="00D955A2"/>
    <w:rsid w:val="00DA18EF"/>
    <w:rsid w:val="00DC7724"/>
    <w:rsid w:val="00DD17BB"/>
    <w:rsid w:val="00DD3C5A"/>
    <w:rsid w:val="00DD7A83"/>
    <w:rsid w:val="00DE3A7F"/>
    <w:rsid w:val="00E0039F"/>
    <w:rsid w:val="00E22B02"/>
    <w:rsid w:val="00E35ADF"/>
    <w:rsid w:val="00E42BC0"/>
    <w:rsid w:val="00E456DE"/>
    <w:rsid w:val="00E53E57"/>
    <w:rsid w:val="00E55C26"/>
    <w:rsid w:val="00E75BAC"/>
    <w:rsid w:val="00E9252C"/>
    <w:rsid w:val="00EB0E45"/>
    <w:rsid w:val="00EB5DA0"/>
    <w:rsid w:val="00EC164E"/>
    <w:rsid w:val="00EC1D97"/>
    <w:rsid w:val="00EC765F"/>
    <w:rsid w:val="00ED0DCB"/>
    <w:rsid w:val="00ED1CA5"/>
    <w:rsid w:val="00EE4D4D"/>
    <w:rsid w:val="00EE60C4"/>
    <w:rsid w:val="00F0404C"/>
    <w:rsid w:val="00F206CD"/>
    <w:rsid w:val="00F23D59"/>
    <w:rsid w:val="00F31DF9"/>
    <w:rsid w:val="00F36F7C"/>
    <w:rsid w:val="00F46213"/>
    <w:rsid w:val="00F46E71"/>
    <w:rsid w:val="00F51298"/>
    <w:rsid w:val="00F51ED3"/>
    <w:rsid w:val="00F56A61"/>
    <w:rsid w:val="00F623AC"/>
    <w:rsid w:val="00F63CB7"/>
    <w:rsid w:val="00F8191D"/>
    <w:rsid w:val="00F8749A"/>
    <w:rsid w:val="00F907EC"/>
    <w:rsid w:val="00F935A0"/>
    <w:rsid w:val="00FB6E1C"/>
    <w:rsid w:val="00FE1163"/>
    <w:rsid w:val="00FE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D9020B6"/>
  <w15:chartTrackingRefBased/>
  <w15:docId w15:val="{9A11A305-8139-433C-A5EC-8D3E2636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2A"/>
    <w:pPr>
      <w:spacing w:after="0" w:line="240" w:lineRule="auto"/>
      <w:jc w:val="center"/>
    </w:pPr>
    <w:rPr>
      <w:rFonts w:eastAsia="Calibri" w:cs="Times New Roman"/>
      <w:kern w:val="0"/>
      <w:szCs w:val="28"/>
      <w14:ligatures w14:val="none"/>
    </w:rPr>
  </w:style>
  <w:style w:type="paragraph" w:styleId="Heading1">
    <w:name w:val="heading 1"/>
    <w:basedOn w:val="Normal"/>
    <w:next w:val="Normal"/>
    <w:link w:val="Heading1Char"/>
    <w:uiPriority w:val="9"/>
    <w:qFormat/>
    <w:rsid w:val="0039412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412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12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9412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9412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9412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9412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9412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9412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12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41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41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41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41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41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41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412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12A"/>
    <w:pPr>
      <w:numPr>
        <w:ilvl w:val="1"/>
      </w:numPr>
      <w:spacing w:after="160" w:line="259"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941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412A"/>
    <w:pPr>
      <w:spacing w:before="160" w:after="160" w:line="259" w:lineRule="auto"/>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9412A"/>
    <w:rPr>
      <w:i/>
      <w:iCs/>
      <w:color w:val="404040" w:themeColor="text1" w:themeTint="BF"/>
    </w:rPr>
  </w:style>
  <w:style w:type="paragraph" w:styleId="ListParagraph">
    <w:name w:val="List Paragraph"/>
    <w:basedOn w:val="Normal"/>
    <w:uiPriority w:val="34"/>
    <w:qFormat/>
    <w:rsid w:val="0039412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9412A"/>
    <w:rPr>
      <w:i/>
      <w:iCs/>
      <w:color w:val="2F5496" w:themeColor="accent1" w:themeShade="BF"/>
    </w:rPr>
  </w:style>
  <w:style w:type="paragraph" w:styleId="IntenseQuote">
    <w:name w:val="Intense Quote"/>
    <w:basedOn w:val="Normal"/>
    <w:next w:val="Normal"/>
    <w:link w:val="IntenseQuoteChar"/>
    <w:uiPriority w:val="30"/>
    <w:qFormat/>
    <w:rsid w:val="0039412A"/>
    <w:pPr>
      <w:pBdr>
        <w:top w:val="single" w:sz="4" w:space="10" w:color="2F5496" w:themeColor="accent1" w:themeShade="BF"/>
        <w:bottom w:val="single" w:sz="4" w:space="10" w:color="2F5496" w:themeColor="accent1" w:themeShade="BF"/>
      </w:pBdr>
      <w:spacing w:before="360" w:after="360" w:line="259" w:lineRule="auto"/>
      <w:ind w:left="864" w:right="864"/>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9412A"/>
    <w:rPr>
      <w:i/>
      <w:iCs/>
      <w:color w:val="2F5496" w:themeColor="accent1" w:themeShade="BF"/>
    </w:rPr>
  </w:style>
  <w:style w:type="character" w:styleId="IntenseReference">
    <w:name w:val="Intense Reference"/>
    <w:basedOn w:val="DefaultParagraphFont"/>
    <w:uiPriority w:val="32"/>
    <w:qFormat/>
    <w:rsid w:val="0039412A"/>
    <w:rPr>
      <w:b/>
      <w:bCs/>
      <w:smallCaps/>
      <w:color w:val="2F5496" w:themeColor="accent1" w:themeShade="BF"/>
      <w:spacing w:val="5"/>
    </w:rPr>
  </w:style>
  <w:style w:type="character" w:styleId="Hyperlink">
    <w:name w:val="Hyperlink"/>
    <w:basedOn w:val="DefaultParagraphFont"/>
    <w:uiPriority w:val="99"/>
    <w:unhideWhenUsed/>
    <w:rsid w:val="00CD3AB3"/>
    <w:rPr>
      <w:color w:val="0563C1" w:themeColor="hyperlink"/>
      <w:u w:val="single"/>
    </w:rPr>
  </w:style>
  <w:style w:type="paragraph" w:styleId="NormalWeb">
    <w:name w:val="Normal (Web)"/>
    <w:basedOn w:val="Normal"/>
    <w:uiPriority w:val="99"/>
    <w:qFormat/>
    <w:rsid w:val="00CC1063"/>
    <w:pPr>
      <w:spacing w:before="100" w:beforeAutospacing="1" w:after="100" w:afterAutospacing="1"/>
      <w:jc w:val="left"/>
    </w:pPr>
    <w:rPr>
      <w:rFonts w:eastAsia="Times New Roman"/>
      <w:sz w:val="24"/>
      <w:szCs w:val="24"/>
    </w:rPr>
  </w:style>
  <w:style w:type="table" w:styleId="TableGrid">
    <w:name w:val="Table Grid"/>
    <w:basedOn w:val="TableNormal"/>
    <w:uiPriority w:val="39"/>
    <w:rsid w:val="007A4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ECC"/>
    <w:pPr>
      <w:tabs>
        <w:tab w:val="center" w:pos="4680"/>
        <w:tab w:val="right" w:pos="9360"/>
      </w:tabs>
    </w:pPr>
  </w:style>
  <w:style w:type="character" w:customStyle="1" w:styleId="HeaderChar">
    <w:name w:val="Header Char"/>
    <w:basedOn w:val="DefaultParagraphFont"/>
    <w:link w:val="Header"/>
    <w:uiPriority w:val="99"/>
    <w:rsid w:val="000B6ECC"/>
    <w:rPr>
      <w:rFonts w:eastAsia="Calibri" w:cs="Times New Roman"/>
      <w:kern w:val="0"/>
      <w:szCs w:val="28"/>
      <w14:ligatures w14:val="none"/>
    </w:rPr>
  </w:style>
  <w:style w:type="paragraph" w:styleId="Footer">
    <w:name w:val="footer"/>
    <w:basedOn w:val="Normal"/>
    <w:link w:val="FooterChar"/>
    <w:uiPriority w:val="99"/>
    <w:unhideWhenUsed/>
    <w:rsid w:val="000B6ECC"/>
    <w:pPr>
      <w:tabs>
        <w:tab w:val="center" w:pos="4680"/>
        <w:tab w:val="right" w:pos="9360"/>
      </w:tabs>
    </w:pPr>
  </w:style>
  <w:style w:type="character" w:customStyle="1" w:styleId="FooterChar">
    <w:name w:val="Footer Char"/>
    <w:basedOn w:val="DefaultParagraphFont"/>
    <w:link w:val="Footer"/>
    <w:uiPriority w:val="99"/>
    <w:rsid w:val="000B6ECC"/>
    <w:rPr>
      <w:rFonts w:eastAsia="Calibri"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103</cp:revision>
  <dcterms:created xsi:type="dcterms:W3CDTF">2026-01-22T08:57:00Z</dcterms:created>
  <dcterms:modified xsi:type="dcterms:W3CDTF">2026-03-13T01:34:00Z</dcterms:modified>
</cp:coreProperties>
</file>