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E56BF" w14:textId="77777777" w:rsidR="00E4092E" w:rsidRPr="00111551" w:rsidRDefault="00BE26E7" w:rsidP="00111551">
      <w:pPr>
        <w:spacing w:after="0" w:line="240" w:lineRule="auto"/>
        <w:ind w:firstLine="720"/>
        <w:jc w:val="center"/>
        <w:rPr>
          <w:rFonts w:ascii="Times New Roman" w:hAnsi="Times New Roman" w:cs="Times New Roman"/>
          <w:b/>
          <w:sz w:val="28"/>
          <w:szCs w:val="28"/>
        </w:rPr>
      </w:pPr>
      <w:r w:rsidRPr="00111551">
        <w:rPr>
          <w:rFonts w:ascii="Times New Roman" w:hAnsi="Times New Roman" w:cs="Times New Roman"/>
          <w:b/>
          <w:sz w:val="28"/>
          <w:szCs w:val="28"/>
        </w:rPr>
        <w:t>GIỚI THIỆU MỘT SỐ NỘI DUNG MỚI</w:t>
      </w:r>
    </w:p>
    <w:p w14:paraId="50029415" w14:textId="77777777" w:rsidR="00E4092E" w:rsidRPr="00111551" w:rsidRDefault="00BE26E7" w:rsidP="00111551">
      <w:pPr>
        <w:spacing w:after="0" w:line="240" w:lineRule="auto"/>
        <w:ind w:firstLine="720"/>
        <w:jc w:val="center"/>
        <w:rPr>
          <w:rFonts w:ascii="Times New Roman" w:hAnsi="Times New Roman" w:cs="Times New Roman"/>
          <w:b/>
          <w:sz w:val="28"/>
          <w:szCs w:val="28"/>
        </w:rPr>
      </w:pPr>
      <w:r w:rsidRPr="00111551">
        <w:rPr>
          <w:rFonts w:ascii="Times New Roman" w:hAnsi="Times New Roman" w:cs="Times New Roman"/>
          <w:b/>
          <w:sz w:val="28"/>
          <w:szCs w:val="28"/>
        </w:rPr>
        <w:t>CỦA THÔNG TƯ SỐ 93/2026/TT-BTC</w:t>
      </w:r>
    </w:p>
    <w:p w14:paraId="78823CB0" w14:textId="77777777" w:rsidR="004A06AF" w:rsidRPr="00111551" w:rsidRDefault="004A06AF" w:rsidP="00111551">
      <w:pPr>
        <w:spacing w:after="0" w:line="240" w:lineRule="auto"/>
        <w:ind w:firstLine="720"/>
        <w:jc w:val="center"/>
        <w:rPr>
          <w:rFonts w:ascii="Times New Roman" w:hAnsi="Times New Roman" w:cs="Times New Roman"/>
          <w:bCs/>
          <w:sz w:val="28"/>
          <w:szCs w:val="28"/>
          <w:vertAlign w:val="superscript"/>
        </w:rPr>
      </w:pPr>
      <w:r w:rsidRPr="00111551">
        <w:rPr>
          <w:rFonts w:ascii="Times New Roman" w:hAnsi="Times New Roman" w:cs="Times New Roman"/>
          <w:bCs/>
          <w:sz w:val="28"/>
          <w:szCs w:val="28"/>
          <w:vertAlign w:val="superscript"/>
        </w:rPr>
        <w:t>____________________</w:t>
      </w:r>
    </w:p>
    <w:p w14:paraId="375F30A3" w14:textId="77777777" w:rsidR="00E4092E" w:rsidRPr="00111551" w:rsidRDefault="004A06AF"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V</w:t>
      </w:r>
      <w:r w:rsidR="00BE26E7" w:rsidRPr="00111551">
        <w:rPr>
          <w:rFonts w:ascii="Times New Roman" w:hAnsi="Times New Roman" w:cs="Times New Roman"/>
          <w:bCs/>
          <w:sz w:val="28"/>
          <w:szCs w:val="28"/>
        </w:rPr>
        <w:t>ề nội dung quản lý tem điện tử rượu, tem điện tử thuốc lá sản xuất để tiêu thụ trong nước, Thông tư số 93/2026/TT-BTC có một số nội dung mới cần lưu ý như sau:</w:t>
      </w:r>
    </w:p>
    <w:p w14:paraId="59D9AB10" w14:textId="77777777" w:rsidR="00E4092E" w:rsidRPr="00111551" w:rsidRDefault="00BE26E7" w:rsidP="00111551">
      <w:pPr>
        <w:spacing w:after="120" w:line="240" w:lineRule="auto"/>
        <w:ind w:firstLine="720"/>
        <w:jc w:val="both"/>
        <w:rPr>
          <w:rFonts w:ascii="Times New Roman" w:hAnsi="Times New Roman" w:cs="Times New Roman"/>
          <w:b/>
          <w:sz w:val="28"/>
          <w:szCs w:val="28"/>
        </w:rPr>
      </w:pPr>
      <w:r w:rsidRPr="00111551">
        <w:rPr>
          <w:rFonts w:ascii="Times New Roman" w:hAnsi="Times New Roman" w:cs="Times New Roman"/>
          <w:b/>
          <w:sz w:val="28"/>
          <w:szCs w:val="28"/>
        </w:rPr>
        <w:t>I. Kết cấu của Thông tư</w:t>
      </w:r>
    </w:p>
    <w:p w14:paraId="0E847A74"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Thông tư gồm 03 Chương, 9 Điều và 06 Phụ lục, cụ thể:</w:t>
      </w:r>
    </w:p>
    <w:p w14:paraId="0B5A6E5D"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Chương I - Quy định chung (02 Điều, từ Điều 1 và Điều 2);</w:t>
      </w:r>
    </w:p>
    <w:p w14:paraId="27489E6F"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Chương II - Quy định cụ thể (04 Điều từ Điều 3 đến Điều 6);</w:t>
      </w:r>
    </w:p>
    <w:p w14:paraId="27F2C817"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Chương III - Điều khoản thi hành (03 Điều từ Điều 7 đến Điều 9);</w:t>
      </w:r>
    </w:p>
    <w:p w14:paraId="27F2E3F0" w14:textId="77777777" w:rsidR="00E4092E" w:rsidRPr="00111551" w:rsidRDefault="00BE26E7" w:rsidP="00111551">
      <w:pPr>
        <w:spacing w:after="120" w:line="240" w:lineRule="auto"/>
        <w:ind w:firstLine="720"/>
        <w:jc w:val="both"/>
        <w:rPr>
          <w:rFonts w:ascii="Times New Roman" w:hAnsi="Times New Roman" w:cs="Times New Roman"/>
          <w:b/>
          <w:sz w:val="28"/>
          <w:szCs w:val="28"/>
        </w:rPr>
      </w:pPr>
      <w:r w:rsidRPr="00111551">
        <w:rPr>
          <w:rFonts w:ascii="Times New Roman" w:hAnsi="Times New Roman" w:cs="Times New Roman"/>
          <w:b/>
          <w:sz w:val="28"/>
          <w:szCs w:val="28"/>
        </w:rPr>
        <w:t>II. Một số nội dung mới tại Thông tư số 93/2026/TT-BTC</w:t>
      </w:r>
    </w:p>
    <w:p w14:paraId="2C1F2FE7"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i/>
          <w:sz w:val="28"/>
          <w:szCs w:val="28"/>
        </w:rPr>
        <w:t>1. Tem điện tử và dán tem điện tử (Điều 3)</w:t>
      </w:r>
    </w:p>
    <w:p w14:paraId="437D6FDC"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(i) Bổ sung quy định: Mã QR trên tem điện tử phải bảo đảm khả năng đọc, tra cứu, xác thực bằng phương tiện kỹ thuật phù hợp.</w:t>
      </w:r>
    </w:p>
    <w:p w14:paraId="3E391494"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(ii) Bổ sung quy định: Việc dán tem điện tử phải bảo đảm các thông tin nhận diện trên tem không bị che khuất, tẩy xóa, làm biến dạng hoặc làm mất khả năng tra cứu, xác thực thông tin tem trong điều kiện lưu thông, bảo quản, vận chuyển thông thường của sản phẩm.</w:t>
      </w:r>
    </w:p>
    <w:p w14:paraId="2ED73A73"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(iii) Bỏ quy định đối với rượu sản xuất để tiêu thụ trong nước, tổ chức, cá nhân phải có Giấy phép sản xuất rượu (bao gồm Giấy phép sản xuất rượu thủ công nhằm mục đích kinh doanh, Giấy phép sản xuất rượu công nghiệp) để phù hợp với quy định tại Nghị quyết số 66.17/2026/NQ-CP ngày 15/5/2026 của Chính phủ.</w:t>
      </w:r>
    </w:p>
    <w:p w14:paraId="11EA0899"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(iv) Bổ sung quy định về quản lý dữ liệu tem điện tử</w:t>
      </w:r>
    </w:p>
    <w:p w14:paraId="5A589F9C"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Cục Thuế thực hiện quản lý dữ liệu tem điện tử rượu, tem điện tử thuốc lá sản xuất để tiêu thụ trong nước. Cục Hải quan thực hiện quản lý dữ liệu tem điện tử thuốc lá nhập khẩu, tem điện tử rượu nhập khẩu;</w:t>
      </w:r>
    </w:p>
    <w:p w14:paraId="14F00F32"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Cơ quan thuế các cấp, cơ quan hải quan các cấp thực hiện quản lý, tra cứu, khai thác, sử dụng dữ liệu tem điện tử theo phân quyền của Cục Thuế, Cục Hải quan; phối hợp, cung cấp thông tin về tem điện tử với các cơ quan, đơn vị có chức năng, nhiệm vụ liên quan nhằm phục vụ công tác quản lý;</w:t>
      </w:r>
    </w:p>
    <w:p w14:paraId="5883BDBD" w14:textId="6E8D500C" w:rsidR="00E4092E"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Việc quản lý dữ liệu tem điện tử rượu, tem điện tử thuốc lá phải bảo đảm tính duy nhất của mã quản lý tem điện tử, khả năng tra cứu tem điện tử theo phạm vi quản lý của cơ quan thuế, cơ quan hải quan;</w:t>
      </w:r>
    </w:p>
    <w:p w14:paraId="3E44D5AB" w14:textId="71C5DDF4" w:rsidR="00111551" w:rsidRPr="00111551" w:rsidRDefault="00111551" w:rsidP="00111551">
      <w:pPr>
        <w:tabs>
          <w:tab w:val="left" w:pos="1305"/>
        </w:tabs>
        <w:rPr>
          <w:rFonts w:ascii="Times New Roman" w:hAnsi="Times New Roman" w:cs="Times New Roman"/>
          <w:sz w:val="28"/>
          <w:szCs w:val="28"/>
        </w:rPr>
      </w:pPr>
      <w:r>
        <w:rPr>
          <w:rFonts w:ascii="Times New Roman" w:hAnsi="Times New Roman" w:cs="Times New Roman"/>
          <w:sz w:val="28"/>
          <w:szCs w:val="28"/>
        </w:rPr>
        <w:tab/>
      </w:r>
    </w:p>
    <w:p w14:paraId="5112EDED"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lastRenderedPageBreak/>
        <w:t>Việc quản lý, khai thác, tra cứu, xác thực và chia sẻ dữ liệu tem điện tử phải bảo đảm an toàn thông tin, bảo mật dữ liệu, an ninh mạng, phân quyền truy cập và lưu vết xử lý dữ liệu theo quy định của pháp luậ</w:t>
      </w:r>
      <w:r w:rsidR="00234EA0" w:rsidRPr="00111551">
        <w:rPr>
          <w:rFonts w:ascii="Times New Roman" w:hAnsi="Times New Roman" w:cs="Times New Roman"/>
          <w:bCs/>
          <w:sz w:val="28"/>
          <w:szCs w:val="28"/>
        </w:rPr>
        <w:t>t.</w:t>
      </w:r>
    </w:p>
    <w:p w14:paraId="5E3E7703"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i/>
          <w:sz w:val="28"/>
          <w:szCs w:val="28"/>
        </w:rPr>
        <w:t>2.</w:t>
      </w:r>
      <w:r w:rsidRPr="00111551">
        <w:rPr>
          <w:rFonts w:ascii="Times New Roman" w:hAnsi="Times New Roman" w:cs="Times New Roman"/>
          <w:bCs/>
          <w:sz w:val="28"/>
          <w:szCs w:val="28"/>
        </w:rPr>
        <w:t xml:space="preserve"> </w:t>
      </w:r>
      <w:r w:rsidRPr="00111551">
        <w:rPr>
          <w:rFonts w:ascii="Times New Roman" w:hAnsi="Times New Roman" w:cs="Times New Roman"/>
          <w:bCs/>
          <w:i/>
          <w:sz w:val="28"/>
          <w:szCs w:val="28"/>
        </w:rPr>
        <w:t>Quản lý tem điện tử rượu và tem điện tử thuốc lá sản xuất để tiêu thụ</w:t>
      </w:r>
      <w:r w:rsidR="004A06AF" w:rsidRPr="00111551">
        <w:rPr>
          <w:rFonts w:ascii="Times New Roman" w:hAnsi="Times New Roman" w:cs="Times New Roman"/>
          <w:bCs/>
          <w:sz w:val="28"/>
          <w:szCs w:val="28"/>
        </w:rPr>
        <w:t xml:space="preserve"> </w:t>
      </w:r>
      <w:r w:rsidRPr="00111551">
        <w:rPr>
          <w:rFonts w:ascii="Times New Roman" w:hAnsi="Times New Roman" w:cs="Times New Roman"/>
          <w:bCs/>
          <w:i/>
          <w:sz w:val="28"/>
          <w:szCs w:val="28"/>
        </w:rPr>
        <w:t>trong nước (Điều 6).</w:t>
      </w:r>
    </w:p>
    <w:p w14:paraId="1D6886BC" w14:textId="133CE6EE"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 xml:space="preserve">(i) Sửa đổi quy định: Khi doanh nghiệp, tổ chức, cá nhân xuất tem điện tử cho bộ phận sản xuất thì doanh nghiệp, tổ chức, cá nhân phải quét mã QR gắn trên thùng tem điện tử hoặc block tem điện tử hoặc tem điện tử, đồng thời nhập các dữ liệu: tên hàng hóa, thời gian sản xuất </w:t>
      </w:r>
      <w:r w:rsidRPr="00111551">
        <w:rPr>
          <w:rFonts w:ascii="Times New Roman" w:hAnsi="Times New Roman" w:cs="Times New Roman"/>
          <w:bCs/>
          <w:sz w:val="28"/>
          <w:szCs w:val="28"/>
          <w:u w:val="single"/>
        </w:rPr>
        <w:t>(theo</w:t>
      </w:r>
      <w:r w:rsidR="00111551">
        <w:rPr>
          <w:rFonts w:ascii="Times New Roman" w:hAnsi="Times New Roman" w:cs="Times New Roman"/>
          <w:bCs/>
          <w:sz w:val="28"/>
          <w:szCs w:val="28"/>
          <w:u w:val="single"/>
        </w:rPr>
        <w:t xml:space="preserve"> </w:t>
      </w:r>
      <w:r w:rsidRPr="00111551">
        <w:rPr>
          <w:rFonts w:ascii="Times New Roman" w:hAnsi="Times New Roman" w:cs="Times New Roman"/>
          <w:bCs/>
          <w:sz w:val="28"/>
          <w:szCs w:val="28"/>
          <w:u w:val="single"/>
        </w:rPr>
        <w:t>ngày/tháng/năm hoặc tháng/năm),</w:t>
      </w:r>
      <w:r w:rsidRPr="00111551">
        <w:rPr>
          <w:rFonts w:ascii="Times New Roman" w:hAnsi="Times New Roman" w:cs="Times New Roman"/>
          <w:bCs/>
          <w:sz w:val="28"/>
          <w:szCs w:val="28"/>
        </w:rPr>
        <w:t xml:space="preserve"> đơn vị đo lường (lít/chai đối với rượu, điếu/bao đối với thuốc lá), đơn giá bán sản phẩm </w:t>
      </w:r>
      <w:r w:rsidRPr="00111551">
        <w:rPr>
          <w:rFonts w:ascii="Times New Roman" w:hAnsi="Times New Roman" w:cs="Times New Roman"/>
          <w:bCs/>
          <w:sz w:val="28"/>
          <w:szCs w:val="28"/>
          <w:u w:val="single"/>
        </w:rPr>
        <w:t>(hoặc đơn giá bán sản phẩm tạm tính trong trường hợp chưa xác định được đơn giá),</w:t>
      </w:r>
      <w:r w:rsidRPr="00111551">
        <w:rPr>
          <w:rFonts w:ascii="Times New Roman" w:hAnsi="Times New Roman" w:cs="Times New Roman"/>
          <w:bCs/>
          <w:sz w:val="28"/>
          <w:szCs w:val="28"/>
        </w:rPr>
        <w:t xml:space="preserve"> để đảm bảo kết nối thông tin về dữ liệu tem điện tử được truyền đến Hệ thống thông tin quản lý thuế. Trường hợp doanh nghiệp, tổ chức, cá nhân phát hiện dữ liệu tem điện tử đã quét có sai sót, cần điều chỉnh thì tổ chức, cá nhân, doanh nghiệp thực hiện điều chỉnh lại dữ liệu tem điện tử đã quét.</w:t>
      </w:r>
    </w:p>
    <w:p w14:paraId="4E058934"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(ii) Bổ sung quy định: Trường hợp Hệ thống thông tin quản lý thuế gặp lỗi kỹ thuật chưa tiếp nhận được dữ liệu thông tin của tem điện tử đã dán, Cục Thuế có trách nhiệm thông báo trên Hệ thống thông tin quản lý thuế. Trong thời hạn 02 ngày làm việc kể từ ngày Cục Thuế có thông báo Hệ thống thông tin quản lý thuế hoạt động bình thường trở lại, doanh nghiệp, tổ chức, cá nhân thực hiện chuyển dữ liệu thông tin của tem điện tử đã dán đến cơ quan thuế và không bị xác định là hành vi chậm gửi dữ liệu tem điện tử.</w:t>
      </w:r>
    </w:p>
    <w:p w14:paraId="456D5E7E"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(iii) Bổ sung quy định: Trường hợp mất, cháy tem điện tử rượu, tem điện tử thuốc lá: doanh nghiệp, tổ chức, cá nhân lập biên bản xác định thời gian, địa điểm xảy ra việc mất, cháy tem, có xác nhận của chính quyền địa phương cấp xã nơi xảy ra việc mất, cháy tem và thực hiện lưu biên bản tại doanh nghiệp, tổ chức, cá nhân.</w:t>
      </w:r>
    </w:p>
    <w:p w14:paraId="0FCED002"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(iv) Sửa đổi thời hạn báo cáo mất, cháy tem điện tử, thời hạn hủy tem điện tử trong trường hợp tìm lại được tem điện tử đã mất, thời hạn thông báo kết quả hủy tem điện tử từ 05 ngày làm việc xuống 03 ngày làm việc.</w:t>
      </w:r>
    </w:p>
    <w:p w14:paraId="0C0E941A"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(v) Sửa đổi quy định: Các thông tin của tem điện tử rượu, tem điện tử thuốc lá hiển thị khi tra cứu bao gồm: tên loại tem, ký hiệu mẫu số, ký hiệu tem; dãy số nhảy tem; tên, mã số thuế của đơn vị sản xuất sản phẩm thuốc lá, sản xuất rượu; tên cơ quan thuế bán tem điện tử, ngày bán tem điện tử; tên hàng hóa; thời gian sản xuất (ngày/tháng/năm hoặc tháng/năm); đơn vị đo lường (lít/chai đối với rượu, điếu/bao đối với thuốc lá).</w:t>
      </w:r>
    </w:p>
    <w:p w14:paraId="265465D7"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i/>
          <w:sz w:val="28"/>
          <w:szCs w:val="28"/>
        </w:rPr>
        <w:t>3.</w:t>
      </w:r>
      <w:r w:rsidRPr="00111551">
        <w:rPr>
          <w:rFonts w:ascii="Times New Roman" w:hAnsi="Times New Roman" w:cs="Times New Roman"/>
          <w:bCs/>
          <w:sz w:val="28"/>
          <w:szCs w:val="28"/>
        </w:rPr>
        <w:t xml:space="preserve"> </w:t>
      </w:r>
      <w:r w:rsidRPr="00111551">
        <w:rPr>
          <w:rFonts w:ascii="Times New Roman" w:hAnsi="Times New Roman" w:cs="Times New Roman"/>
          <w:bCs/>
          <w:i/>
          <w:sz w:val="28"/>
          <w:szCs w:val="28"/>
        </w:rPr>
        <w:t>Điều khoản chuyển tiếp (khoản 2 Điều 9)</w:t>
      </w:r>
    </w:p>
    <w:p w14:paraId="0ED3AC05"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lastRenderedPageBreak/>
        <w:t>Tem điện tử rượu, tem điện tử thuốc lá đã được phát hành, in theo mẫu quy định tại Thông tư số 23/2021/TT-BTC ngày 30 tháng 3 năm 2021 của Bộ trưởng Bộ Tài chính được tiếp tục sử dụng cho đến khi sử dụng hết.</w:t>
      </w:r>
    </w:p>
    <w:p w14:paraId="697AF728"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i/>
          <w:sz w:val="28"/>
          <w:szCs w:val="28"/>
        </w:rPr>
        <w:t>4.</w:t>
      </w:r>
      <w:r w:rsidRPr="00111551">
        <w:rPr>
          <w:rFonts w:ascii="Times New Roman" w:hAnsi="Times New Roman" w:cs="Times New Roman"/>
          <w:bCs/>
          <w:sz w:val="28"/>
          <w:szCs w:val="28"/>
        </w:rPr>
        <w:t xml:space="preserve"> </w:t>
      </w:r>
      <w:r w:rsidRPr="00111551">
        <w:rPr>
          <w:rFonts w:ascii="Times New Roman" w:hAnsi="Times New Roman" w:cs="Times New Roman"/>
          <w:bCs/>
          <w:i/>
          <w:sz w:val="28"/>
          <w:szCs w:val="28"/>
        </w:rPr>
        <w:t>Phụ lục</w:t>
      </w:r>
    </w:p>
    <w:p w14:paraId="2D68B457" w14:textId="77777777" w:rsidR="00E4092E" w:rsidRPr="00111551" w:rsidRDefault="00BE26E7" w:rsidP="00111551">
      <w:pPr>
        <w:spacing w:after="120" w:line="240" w:lineRule="auto"/>
        <w:ind w:firstLine="720"/>
        <w:jc w:val="both"/>
        <w:rPr>
          <w:rFonts w:ascii="Times New Roman" w:hAnsi="Times New Roman" w:cs="Times New Roman"/>
          <w:bCs/>
          <w:sz w:val="28"/>
          <w:szCs w:val="28"/>
        </w:rPr>
      </w:pPr>
      <w:r w:rsidRPr="00111551">
        <w:rPr>
          <w:rFonts w:ascii="Times New Roman" w:hAnsi="Times New Roman" w:cs="Times New Roman"/>
          <w:bCs/>
          <w:sz w:val="28"/>
          <w:szCs w:val="28"/>
        </w:rPr>
        <w:t>Phụ lục I quy định về mẫu tem điện tử dán lên sản phẩm thuốc lá sản xuất để tiêu thụ trong nước; Phụ lục II quy định về mẫu tem điện tử dán lên sản phẩm rượu sản xuất để tiêu thụ trong nước: bổ sung một số ti</w:t>
      </w:r>
      <w:r w:rsidR="00234EA0" w:rsidRPr="00111551">
        <w:rPr>
          <w:rFonts w:ascii="Times New Roman" w:hAnsi="Times New Roman" w:cs="Times New Roman"/>
          <w:bCs/>
          <w:sz w:val="28"/>
          <w:szCs w:val="28"/>
        </w:rPr>
        <w:t>ê</w:t>
      </w:r>
      <w:r w:rsidRPr="00111551">
        <w:rPr>
          <w:rFonts w:ascii="Times New Roman" w:hAnsi="Times New Roman" w:cs="Times New Roman"/>
          <w:bCs/>
          <w:sz w:val="28"/>
          <w:szCs w:val="28"/>
        </w:rPr>
        <w:t>u chuẩn kỹ thuật của tem, kỹ thuật in tem phải đảm bảo tính bảo an, có khả năng chống làm giả./.</w:t>
      </w:r>
    </w:p>
    <w:sectPr w:rsidR="00E4092E" w:rsidRPr="00111551" w:rsidSect="004A06AF">
      <w:footerReference w:type="default" r:id="rId6"/>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EEF51" w14:textId="77777777" w:rsidR="00733F09" w:rsidRDefault="00733F09">
      <w:pPr>
        <w:spacing w:after="0" w:line="240" w:lineRule="auto"/>
      </w:pPr>
      <w:r>
        <w:separator/>
      </w:r>
    </w:p>
  </w:endnote>
  <w:endnote w:type="continuationSeparator" w:id="0">
    <w:p w14:paraId="5C8BC417" w14:textId="77777777" w:rsidR="00733F09" w:rsidRDefault="00733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517F" w14:textId="5006A88C" w:rsidR="00F62104" w:rsidRDefault="00BE26E7" w:rsidP="00D46E5B">
    <w:pPr>
      <w:pStyle w:val="Footer"/>
    </w:pPr>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31AEB" w14:textId="77777777" w:rsidR="00733F09" w:rsidRDefault="00733F09">
      <w:pPr>
        <w:spacing w:after="0" w:line="240" w:lineRule="auto"/>
      </w:pPr>
      <w:r>
        <w:separator/>
      </w:r>
    </w:p>
  </w:footnote>
  <w:footnote w:type="continuationSeparator" w:id="0">
    <w:p w14:paraId="4102A5B9" w14:textId="77777777" w:rsidR="00733F09" w:rsidRDefault="00733F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E"/>
    <w:rsid w:val="00111551"/>
    <w:rsid w:val="00234EA0"/>
    <w:rsid w:val="004A06AF"/>
    <w:rsid w:val="00733F09"/>
    <w:rsid w:val="00A32116"/>
    <w:rsid w:val="00BE26E7"/>
    <w:rsid w:val="00D46E5B"/>
    <w:rsid w:val="00E4092E"/>
    <w:rsid w:val="00F62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ABED9"/>
  <w15:docId w15:val="{0F9DCFBF-D16E-4D62-870F-DE228B2F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5B"/>
  </w:style>
  <w:style w:type="paragraph" w:styleId="Footer">
    <w:name w:val="footer"/>
    <w:basedOn w:val="Normal"/>
    <w:link w:val="FooterChar"/>
    <w:uiPriority w:val="99"/>
    <w:unhideWhenUsed/>
    <w:rsid w:val="00D46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Trangvq</dc:creator>
  <cp:lastModifiedBy>Ngoc, Ha Thi Minh Ngoc (NVDTPC-TQU)</cp:lastModifiedBy>
  <cp:revision>3</cp:revision>
  <dcterms:created xsi:type="dcterms:W3CDTF">2026-07-31T02:52:00Z</dcterms:created>
  <dcterms:modified xsi:type="dcterms:W3CDTF">2026-09-15T08:21:00Z</dcterms:modified>
</cp:coreProperties>
</file>