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04"/>
        <w:tblW w:w="0" w:type="auto"/>
        <w:tblCellSpacing w:w="0" w:type="dxa"/>
        <w:tblCellMar>
          <w:left w:w="0" w:type="dxa"/>
          <w:right w:w="0" w:type="dxa"/>
        </w:tblCellMar>
        <w:tblLook w:val="04A0" w:firstRow="1" w:lastRow="0" w:firstColumn="1" w:lastColumn="0" w:noHBand="0" w:noVBand="1"/>
      </w:tblPr>
      <w:tblGrid>
        <w:gridCol w:w="3223"/>
        <w:gridCol w:w="5849"/>
      </w:tblGrid>
      <w:tr w:rsidR="000179F9" w:rsidRPr="000179F9" w:rsidTr="009677C3">
        <w:trPr>
          <w:trHeight w:val="845"/>
          <w:tblCellSpacing w:w="0" w:type="dxa"/>
        </w:trPr>
        <w:tc>
          <w:tcPr>
            <w:tcW w:w="3223" w:type="dxa"/>
            <w:tcMar>
              <w:top w:w="0" w:type="dxa"/>
              <w:left w:w="108" w:type="dxa"/>
              <w:bottom w:w="0" w:type="dxa"/>
              <w:right w:w="108" w:type="dxa"/>
            </w:tcMar>
            <w:hideMark/>
          </w:tcPr>
          <w:p w:rsidR="006A7AFF" w:rsidRPr="000179F9" w:rsidRDefault="009677C3" w:rsidP="00C36455">
            <w:pPr>
              <w:spacing w:before="60"/>
              <w:jc w:val="center"/>
              <w:rPr>
                <w:rFonts w:ascii="Times New Roman" w:eastAsia="Times New Roman" w:hAnsi="Times New Roman" w:cs="Times New Roman"/>
                <w:sz w:val="24"/>
                <w:szCs w:val="24"/>
              </w:rPr>
            </w:pPr>
            <w:r w:rsidRPr="000179F9">
              <w:rPr>
                <w:rFonts w:ascii="Times New Roman" w:eastAsia="Times New Roman" w:hAnsi="Times New Roman" w:cs="Times New Roman"/>
                <w:b/>
                <w:bCs/>
                <w:noProof/>
                <w:sz w:val="26"/>
                <w:szCs w:val="24"/>
                <w:lang w:val="en-SG" w:eastAsia="en-SG"/>
              </w:rPr>
              <mc:AlternateContent>
                <mc:Choice Requires="wps">
                  <w:drawing>
                    <wp:anchor distT="0" distB="0" distL="114300" distR="114300" simplePos="0" relativeHeight="251668480" behindDoc="0" locked="0" layoutInCell="1" allowOverlap="1" wp14:anchorId="2A49CDFC" wp14:editId="6C70187B">
                      <wp:simplePos x="0" y="0"/>
                      <wp:positionH relativeFrom="column">
                        <wp:posOffset>600710</wp:posOffset>
                      </wp:positionH>
                      <wp:positionV relativeFrom="paragraph">
                        <wp:posOffset>502285</wp:posOffset>
                      </wp:positionV>
                      <wp:extent cx="580445" cy="0"/>
                      <wp:effectExtent l="0" t="0" r="1016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CCA5E31"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pt,39.55pt" to="93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"/>
                  </w:pict>
                </mc:Fallback>
              </mc:AlternateContent>
            </w:r>
            <w:r w:rsidR="006A7AFF" w:rsidRPr="000179F9">
              <w:rPr>
                <w:rFonts w:ascii="Times New Roman" w:eastAsia="Times New Roman" w:hAnsi="Times New Roman" w:cs="Times New Roman"/>
                <w:b/>
                <w:bCs/>
                <w:sz w:val="26"/>
                <w:szCs w:val="24"/>
              </w:rPr>
              <w:t>HỘI ĐỒNG NHÂN DÂN</w:t>
            </w:r>
            <w:r w:rsidR="006A7AFF" w:rsidRPr="000179F9">
              <w:rPr>
                <w:rFonts w:ascii="Times New Roman" w:eastAsia="Times New Roman" w:hAnsi="Times New Roman" w:cs="Times New Roman"/>
                <w:b/>
                <w:bCs/>
                <w:sz w:val="24"/>
                <w:szCs w:val="24"/>
              </w:rPr>
              <w:br/>
            </w:r>
            <w:r w:rsidR="006A7AFF" w:rsidRPr="000179F9">
              <w:rPr>
                <w:rFonts w:ascii="Times New Roman" w:eastAsia="Times New Roman" w:hAnsi="Times New Roman" w:cs="Times New Roman"/>
                <w:b/>
                <w:bCs/>
                <w:sz w:val="26"/>
                <w:szCs w:val="24"/>
              </w:rPr>
              <w:t xml:space="preserve">TỈNH </w:t>
            </w:r>
            <w:r w:rsidR="00C36455" w:rsidRPr="000179F9">
              <w:rPr>
                <w:rFonts w:ascii="Times New Roman" w:eastAsia="Times New Roman" w:hAnsi="Times New Roman" w:cs="Times New Roman"/>
                <w:b/>
                <w:bCs/>
                <w:sz w:val="26"/>
                <w:szCs w:val="24"/>
              </w:rPr>
              <w:t>TUYÊN QUANG</w:t>
            </w:r>
            <w:r w:rsidR="006A7AFF" w:rsidRPr="000179F9">
              <w:rPr>
                <w:rFonts w:ascii="Times New Roman" w:eastAsia="Times New Roman" w:hAnsi="Times New Roman" w:cs="Times New Roman"/>
                <w:b/>
                <w:bCs/>
                <w:sz w:val="24"/>
                <w:szCs w:val="24"/>
              </w:rPr>
              <w:br/>
            </w:r>
          </w:p>
        </w:tc>
        <w:tc>
          <w:tcPr>
            <w:tcW w:w="5849" w:type="dxa"/>
            <w:tcMar>
              <w:top w:w="0" w:type="dxa"/>
              <w:left w:w="108" w:type="dxa"/>
              <w:bottom w:w="0" w:type="dxa"/>
              <w:right w:w="108" w:type="dxa"/>
            </w:tcMar>
            <w:hideMark/>
          </w:tcPr>
          <w:p w:rsidR="006A7AFF" w:rsidRPr="000179F9" w:rsidRDefault="009677C3" w:rsidP="009677C3">
            <w:pPr>
              <w:spacing w:before="60"/>
              <w:jc w:val="center"/>
              <w:rPr>
                <w:rFonts w:ascii="Times New Roman" w:eastAsia="Times New Roman" w:hAnsi="Times New Roman" w:cs="Times New Roman"/>
                <w:sz w:val="24"/>
                <w:szCs w:val="24"/>
              </w:rPr>
            </w:pPr>
            <w:r w:rsidRPr="000179F9">
              <w:rPr>
                <w:rFonts w:ascii="Times New Roman" w:eastAsia="Times New Roman" w:hAnsi="Times New Roman" w:cs="Times New Roman"/>
                <w:b/>
                <w:bCs/>
                <w:noProof/>
                <w:sz w:val="26"/>
                <w:szCs w:val="24"/>
                <w:lang w:val="en-SG" w:eastAsia="en-SG"/>
              </w:rPr>
              <mc:AlternateContent>
                <mc:Choice Requires="wps">
                  <w:drawing>
                    <wp:anchor distT="0" distB="0" distL="114300" distR="114300" simplePos="0" relativeHeight="251667456" behindDoc="0" locked="0" layoutInCell="1" allowOverlap="1" wp14:anchorId="23682205" wp14:editId="6CEDCCB1">
                      <wp:simplePos x="0" y="0"/>
                      <wp:positionH relativeFrom="column">
                        <wp:posOffset>732155</wp:posOffset>
                      </wp:positionH>
                      <wp:positionV relativeFrom="paragraph">
                        <wp:posOffset>432435</wp:posOffset>
                      </wp:positionV>
                      <wp:extent cx="2154803" cy="0"/>
                      <wp:effectExtent l="0" t="0" r="1714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7.65pt,34.05pt" to="227.3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"/>
                  </w:pict>
                </mc:Fallback>
              </mc:AlternateContent>
            </w:r>
            <w:r w:rsidR="006A7AFF" w:rsidRPr="000179F9">
              <w:rPr>
                <w:rFonts w:ascii="Times New Roman" w:eastAsia="Times New Roman" w:hAnsi="Times New Roman" w:cs="Times New Roman"/>
                <w:b/>
                <w:bCs/>
                <w:sz w:val="26"/>
                <w:szCs w:val="24"/>
              </w:rPr>
              <w:t>CỘNG HÒA XÃ HỘI CHỦ NGHĨA VIỆT NAM</w:t>
            </w:r>
            <w:r w:rsidR="006A7AFF" w:rsidRPr="000179F9">
              <w:rPr>
                <w:rFonts w:ascii="Times New Roman" w:eastAsia="Times New Roman" w:hAnsi="Times New Roman" w:cs="Times New Roman"/>
                <w:b/>
                <w:bCs/>
                <w:sz w:val="24"/>
                <w:szCs w:val="24"/>
              </w:rPr>
              <w:br/>
            </w:r>
            <w:r w:rsidR="006A7AFF" w:rsidRPr="000179F9">
              <w:rPr>
                <w:rFonts w:ascii="Times New Roman" w:eastAsia="Times New Roman" w:hAnsi="Times New Roman" w:cs="Times New Roman"/>
                <w:b/>
                <w:bCs/>
                <w:sz w:val="28"/>
                <w:szCs w:val="24"/>
              </w:rPr>
              <w:t xml:space="preserve">Độc lập - Tự do - Hạnh phúc </w:t>
            </w:r>
            <w:r w:rsidR="006A7AFF" w:rsidRPr="000179F9">
              <w:rPr>
                <w:rFonts w:ascii="Times New Roman" w:eastAsia="Times New Roman" w:hAnsi="Times New Roman" w:cs="Times New Roman"/>
                <w:b/>
                <w:bCs/>
                <w:sz w:val="28"/>
                <w:szCs w:val="24"/>
              </w:rPr>
              <w:br/>
            </w:r>
          </w:p>
        </w:tc>
      </w:tr>
      <w:tr w:rsidR="000179F9" w:rsidRPr="000179F9" w:rsidTr="006A7AFF">
        <w:trPr>
          <w:tblCellSpacing w:w="0" w:type="dxa"/>
        </w:trPr>
        <w:tc>
          <w:tcPr>
            <w:tcW w:w="3223" w:type="dxa"/>
            <w:tcMar>
              <w:top w:w="0" w:type="dxa"/>
              <w:left w:w="108" w:type="dxa"/>
              <w:bottom w:w="0" w:type="dxa"/>
              <w:right w:w="108" w:type="dxa"/>
            </w:tcMar>
            <w:hideMark/>
          </w:tcPr>
          <w:p w:rsidR="006A7AFF" w:rsidRPr="000179F9" w:rsidRDefault="006A7AFF" w:rsidP="009677C3">
            <w:pPr>
              <w:spacing w:before="60"/>
              <w:jc w:val="center"/>
              <w:rPr>
                <w:rFonts w:ascii="Times New Roman" w:eastAsia="Times New Roman" w:hAnsi="Times New Roman" w:cs="Times New Roman"/>
                <w:sz w:val="26"/>
                <w:szCs w:val="26"/>
              </w:rPr>
            </w:pPr>
            <w:r w:rsidRPr="000179F9">
              <w:rPr>
                <w:rFonts w:ascii="Times New Roman" w:eastAsia="Times New Roman" w:hAnsi="Times New Roman" w:cs="Times New Roman"/>
                <w:sz w:val="26"/>
                <w:szCs w:val="26"/>
              </w:rPr>
              <w:t xml:space="preserve">Số:        </w:t>
            </w:r>
            <w:r w:rsidR="00C36455" w:rsidRPr="000179F9">
              <w:rPr>
                <w:rFonts w:ascii="Times New Roman" w:eastAsia="Times New Roman" w:hAnsi="Times New Roman" w:cs="Times New Roman"/>
                <w:sz w:val="26"/>
                <w:szCs w:val="26"/>
              </w:rPr>
              <w:t xml:space="preserve"> </w:t>
            </w:r>
            <w:r w:rsidRPr="000179F9">
              <w:rPr>
                <w:rFonts w:ascii="Times New Roman" w:eastAsia="Times New Roman" w:hAnsi="Times New Roman" w:cs="Times New Roman"/>
                <w:sz w:val="26"/>
                <w:szCs w:val="26"/>
              </w:rPr>
              <w:t xml:space="preserve"> /</w:t>
            </w:r>
            <w:r w:rsidR="00544EDC" w:rsidRPr="000179F9">
              <w:rPr>
                <w:rFonts w:ascii="Times New Roman" w:eastAsia="Times New Roman" w:hAnsi="Times New Roman" w:cs="Times New Roman"/>
                <w:sz w:val="26"/>
                <w:szCs w:val="26"/>
              </w:rPr>
              <w:t>2025/</w:t>
            </w:r>
            <w:r w:rsidRPr="000179F9">
              <w:rPr>
                <w:rFonts w:ascii="Times New Roman" w:eastAsia="Times New Roman" w:hAnsi="Times New Roman" w:cs="Times New Roman"/>
                <w:sz w:val="26"/>
                <w:szCs w:val="26"/>
              </w:rPr>
              <w:t>NQ-HĐND</w:t>
            </w:r>
          </w:p>
        </w:tc>
        <w:tc>
          <w:tcPr>
            <w:tcW w:w="5849" w:type="dxa"/>
            <w:tcMar>
              <w:top w:w="0" w:type="dxa"/>
              <w:left w:w="108" w:type="dxa"/>
              <w:bottom w:w="0" w:type="dxa"/>
              <w:right w:w="108" w:type="dxa"/>
            </w:tcMar>
            <w:hideMark/>
          </w:tcPr>
          <w:p w:rsidR="006A7AFF" w:rsidRPr="000179F9" w:rsidRDefault="00C36455" w:rsidP="009677C3">
            <w:pPr>
              <w:spacing w:before="60"/>
              <w:jc w:val="center"/>
              <w:rPr>
                <w:rFonts w:ascii="Times New Roman" w:eastAsia="Times New Roman" w:hAnsi="Times New Roman" w:cs="Times New Roman"/>
                <w:sz w:val="26"/>
                <w:szCs w:val="26"/>
              </w:rPr>
            </w:pPr>
            <w:r w:rsidRPr="000179F9">
              <w:rPr>
                <w:rFonts w:ascii="Times New Roman" w:eastAsia="Times New Roman" w:hAnsi="Times New Roman" w:cs="Times New Roman"/>
                <w:i/>
                <w:iCs/>
                <w:sz w:val="26"/>
                <w:szCs w:val="26"/>
              </w:rPr>
              <w:t>Tuyên Quang</w:t>
            </w:r>
            <w:r w:rsidR="006A7AFF" w:rsidRPr="000179F9">
              <w:rPr>
                <w:rFonts w:ascii="Times New Roman" w:eastAsia="Times New Roman" w:hAnsi="Times New Roman" w:cs="Times New Roman"/>
                <w:i/>
                <w:iCs/>
                <w:sz w:val="26"/>
                <w:szCs w:val="26"/>
              </w:rPr>
              <w:t xml:space="preserve">, ngày     tháng  </w:t>
            </w:r>
            <w:r w:rsidR="00544EDC" w:rsidRPr="000179F9">
              <w:rPr>
                <w:rFonts w:ascii="Times New Roman" w:eastAsia="Times New Roman" w:hAnsi="Times New Roman" w:cs="Times New Roman"/>
                <w:i/>
                <w:iCs/>
                <w:sz w:val="26"/>
                <w:szCs w:val="26"/>
              </w:rPr>
              <w:t>12</w:t>
            </w:r>
            <w:r w:rsidR="006A7AFF" w:rsidRPr="000179F9">
              <w:rPr>
                <w:rFonts w:ascii="Times New Roman" w:eastAsia="Times New Roman" w:hAnsi="Times New Roman" w:cs="Times New Roman"/>
                <w:i/>
                <w:iCs/>
                <w:sz w:val="26"/>
                <w:szCs w:val="26"/>
              </w:rPr>
              <w:t xml:space="preserve">  năm 2025</w:t>
            </w:r>
          </w:p>
        </w:tc>
      </w:tr>
    </w:tbl>
    <w:p w:rsidR="006A7AFF" w:rsidRPr="000179F9" w:rsidRDefault="00C36455" w:rsidP="006A7AFF">
      <w:pPr>
        <w:keepNext/>
        <w:spacing w:line="276" w:lineRule="auto"/>
        <w:outlineLvl w:val="0"/>
        <w:rPr>
          <w:rFonts w:ascii="Times New Roman" w:eastAsia="Times New Roman" w:hAnsi="Times New Roman" w:cs="Times New Roman"/>
          <w:b/>
          <w:sz w:val="28"/>
          <w:szCs w:val="28"/>
        </w:rPr>
      </w:pPr>
      <w:r w:rsidRPr="000179F9">
        <w:rPr>
          <w:rFonts w:ascii="Times New Roman" w:hAnsi="Times New Roman" w:cs="Times New Roman"/>
          <w:b/>
          <w:bCs/>
          <w:noProof/>
          <w:sz w:val="28"/>
          <w:szCs w:val="28"/>
          <w:lang w:val="en-SG" w:eastAsia="en-SG"/>
        </w:rPr>
        <mc:AlternateContent>
          <mc:Choice Requires="wps">
            <w:drawing>
              <wp:anchor distT="0" distB="0" distL="114300" distR="114300" simplePos="0" relativeHeight="251669504" behindDoc="0" locked="0" layoutInCell="1" allowOverlap="1" wp14:anchorId="79D288F3" wp14:editId="1CDCCCCA">
                <wp:simplePos x="0" y="0"/>
                <wp:positionH relativeFrom="column">
                  <wp:posOffset>468133</wp:posOffset>
                </wp:positionH>
                <wp:positionV relativeFrom="paragraph">
                  <wp:posOffset>1014537</wp:posOffset>
                </wp:positionV>
                <wp:extent cx="975360" cy="203835"/>
                <wp:effectExtent l="7620" t="5715"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203835"/>
                        </a:xfrm>
                        <a:prstGeom prst="rect">
                          <a:avLst/>
                        </a:prstGeom>
                        <a:solidFill>
                          <a:srgbClr val="FFFFFF"/>
                        </a:solidFill>
                        <a:ln w="9525">
                          <a:solidFill>
                            <a:srgbClr val="000000"/>
                          </a:solidFill>
                          <a:miter lim="800000"/>
                          <a:headEnd/>
                          <a:tailEnd/>
                        </a:ln>
                      </wps:spPr>
                      <wps:txbx>
                        <w:txbxContent>
                          <w:p w:rsidR="00C36455" w:rsidRPr="00C36455" w:rsidRDefault="00C36455" w:rsidP="00C36455">
                            <w:pPr>
                              <w:jc w:val="center"/>
                              <w:rPr>
                                <w:rFonts w:ascii="Times New Roman" w:hAnsi="Times New Roman" w:cs="Times New Roman"/>
                                <w:sz w:val="28"/>
                                <w:szCs w:val="28"/>
                              </w:rPr>
                            </w:pPr>
                            <w:r w:rsidRPr="00C36455">
                              <w:rPr>
                                <w:rFonts w:ascii="Times New Roman" w:hAnsi="Times New Roman" w:cs="Times New Roman"/>
                                <w:sz w:val="28"/>
                                <w:szCs w:val="28"/>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9D288F3" id="Rectangle 2" o:spid="_x0000_s1026" style="position:absolute;margin-left:36.85pt;margin-top:79.9pt;width:76.8pt;height:1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">
                <v:textbox inset="0,0,0,0">
                  <w:txbxContent>
                    <w:p w:rsidR="00C36455" w:rsidRPr="00C36455" w:rsidRDefault="00C36455" w:rsidP="00C36455">
                      <w:pPr>
                        <w:jc w:val="center"/>
                        <w:rPr>
                          <w:rFonts w:ascii="Times New Roman" w:hAnsi="Times New Roman" w:cs="Times New Roman"/>
                          <w:sz w:val="28"/>
                          <w:szCs w:val="28"/>
                        </w:rPr>
                      </w:pPr>
                      <w:r w:rsidRPr="00C36455">
                        <w:rPr>
                          <w:rFonts w:ascii="Times New Roman" w:hAnsi="Times New Roman" w:cs="Times New Roman"/>
                          <w:sz w:val="28"/>
                          <w:szCs w:val="28"/>
                        </w:rPr>
                        <w:t>DỰ THẢO</w:t>
                      </w:r>
                    </w:p>
                  </w:txbxContent>
                </v:textbox>
              </v:rect>
            </w:pict>
          </mc:Fallback>
        </mc:AlternateContent>
      </w:r>
    </w:p>
    <w:p w:rsidR="00A5578D" w:rsidRPr="000179F9" w:rsidRDefault="006A7AFF" w:rsidP="00C36455">
      <w:pPr>
        <w:keepNext/>
        <w:spacing w:before="240"/>
        <w:jc w:val="center"/>
        <w:outlineLvl w:val="0"/>
        <w:rPr>
          <w:rFonts w:ascii="Times New Roman" w:hAnsi="Times New Roman" w:cs="Times New Roman"/>
          <w:b/>
          <w:bCs/>
          <w:sz w:val="28"/>
          <w:szCs w:val="28"/>
        </w:rPr>
      </w:pPr>
      <w:r w:rsidRPr="000179F9">
        <w:rPr>
          <w:rFonts w:ascii="Times New Roman" w:hAnsi="Times New Roman" w:cs="Times New Roman"/>
          <w:b/>
          <w:bCs/>
          <w:sz w:val="28"/>
          <w:szCs w:val="28"/>
        </w:rPr>
        <w:t>NGHỊ QUYẾT</w:t>
      </w:r>
    </w:p>
    <w:p w:rsidR="00C36455" w:rsidRPr="000179F9" w:rsidRDefault="00C36455" w:rsidP="00C36455">
      <w:pPr>
        <w:jc w:val="center"/>
        <w:rPr>
          <w:rFonts w:ascii="Times New Roman" w:hAnsi="Times New Roman" w:cs="Times New Roman"/>
          <w:b/>
          <w:iCs/>
          <w:sz w:val="28"/>
          <w:szCs w:val="28"/>
        </w:rPr>
      </w:pPr>
      <w:r w:rsidRPr="000179F9">
        <w:rPr>
          <w:rFonts w:ascii="Times New Roman" w:hAnsi="Times New Roman" w:cs="Times New Roman"/>
          <w:b/>
          <w:iCs/>
          <w:sz w:val="28"/>
          <w:szCs w:val="28"/>
        </w:rPr>
        <w:t xml:space="preserve">Quy định tỷ lệ chi phí quản lý; mức chi trả thù lao cho người trực tiếp chi trả và mức chi phí chi trả cho tổ chức dịch vụ chi trả trợ cấp cho người có công với cách mạng trên địa bàn tỉnh Tuyên Quang </w:t>
      </w:r>
    </w:p>
    <w:p w:rsidR="00E07346" w:rsidRPr="000179F9" w:rsidRDefault="006A7AFF" w:rsidP="00763174">
      <w:pPr>
        <w:spacing w:line="276" w:lineRule="auto"/>
        <w:jc w:val="center"/>
        <w:rPr>
          <w:rFonts w:ascii="Times New Roman" w:eastAsia="Times New Roman" w:hAnsi="Times New Roman" w:cs="Times New Roman"/>
          <w:b/>
          <w:bCs/>
          <w:sz w:val="26"/>
          <w:szCs w:val="24"/>
        </w:rPr>
      </w:pPr>
      <w:r w:rsidRPr="000179F9">
        <w:rPr>
          <w:rFonts w:ascii="Times New Roman" w:hAnsi="Times New Roman" w:cs="Times New Roman"/>
          <w:b/>
          <w:noProof/>
          <w:sz w:val="28"/>
          <w:szCs w:val="28"/>
          <w:lang w:val="en-SG" w:eastAsia="en-SG"/>
        </w:rPr>
        <mc:AlternateContent>
          <mc:Choice Requires="wps">
            <w:drawing>
              <wp:anchor distT="0" distB="0" distL="114300" distR="114300" simplePos="0" relativeHeight="251665408" behindDoc="0" locked="0" layoutInCell="1" allowOverlap="1" wp14:anchorId="5DA91442" wp14:editId="3A7B0EA1">
                <wp:simplePos x="0" y="0"/>
                <wp:positionH relativeFrom="column">
                  <wp:posOffset>2386965</wp:posOffset>
                </wp:positionH>
                <wp:positionV relativeFrom="paragraph">
                  <wp:posOffset>67310</wp:posOffset>
                </wp:positionV>
                <wp:extent cx="1112808"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11280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579632AB"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5pt,5.3pt" to="27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"/>
            </w:pict>
          </mc:Fallback>
        </mc:AlternateContent>
      </w:r>
    </w:p>
    <w:p w:rsidR="00425E3C" w:rsidRPr="00F53A15" w:rsidRDefault="00425E3C" w:rsidP="00F53A15">
      <w:pPr>
        <w:spacing w:before="40"/>
        <w:ind w:firstLine="567"/>
        <w:jc w:val="both"/>
        <w:rPr>
          <w:rFonts w:ascii="Times New Roman" w:hAnsi="Times New Roman" w:cs="Times New Roman"/>
          <w:i/>
          <w:spacing w:val="-6"/>
          <w:sz w:val="28"/>
          <w:szCs w:val="28"/>
          <w:lang w:val="fi-FI"/>
        </w:rPr>
      </w:pPr>
      <w:r w:rsidRPr="00F53A15">
        <w:rPr>
          <w:rFonts w:ascii="Times New Roman" w:eastAsia="Arial Unicode MS" w:hAnsi="Times New Roman" w:cs="Times New Roman"/>
          <w:i/>
          <w:iCs/>
          <w:spacing w:val="-6"/>
          <w:sz w:val="28"/>
          <w:szCs w:val="28"/>
        </w:rPr>
        <w:t xml:space="preserve">Căn cứ </w:t>
      </w:r>
      <w:r w:rsidRPr="00F53A15">
        <w:rPr>
          <w:rFonts w:ascii="Times New Roman" w:eastAsia="Arial Unicode MS" w:hAnsi="Times New Roman" w:cs="Times New Roman"/>
          <w:i/>
          <w:iCs/>
          <w:spacing w:val="-6"/>
          <w:sz w:val="28"/>
          <w:szCs w:val="28"/>
          <w:lang w:val="fi-FI"/>
        </w:rPr>
        <w:t>Luật</w:t>
      </w:r>
      <w:r w:rsidRPr="00F53A15">
        <w:rPr>
          <w:rFonts w:ascii="Times New Roman" w:hAnsi="Times New Roman" w:cs="Times New Roman"/>
          <w:i/>
          <w:spacing w:val="-6"/>
          <w:sz w:val="28"/>
          <w:szCs w:val="28"/>
          <w:lang w:val="fi-FI"/>
        </w:rPr>
        <w:t xml:space="preserve"> Tổ chức chính quyền địa phương số 72/2025/QH15; </w:t>
      </w:r>
    </w:p>
    <w:p w:rsidR="00425E3C" w:rsidRPr="00F53A15" w:rsidRDefault="00425E3C" w:rsidP="00F53A15">
      <w:pPr>
        <w:spacing w:before="40"/>
        <w:ind w:firstLine="567"/>
        <w:jc w:val="both"/>
        <w:rPr>
          <w:rFonts w:ascii="Times New Roman" w:eastAsia="Arial Unicode MS" w:hAnsi="Times New Roman" w:cs="Times New Roman"/>
          <w:i/>
          <w:iCs/>
          <w:spacing w:val="-6"/>
          <w:sz w:val="28"/>
          <w:szCs w:val="28"/>
        </w:rPr>
      </w:pPr>
      <w:r w:rsidRPr="00F53A15">
        <w:rPr>
          <w:rFonts w:ascii="Times New Roman" w:eastAsia="Arial Unicode MS" w:hAnsi="Times New Roman" w:cs="Times New Roman"/>
          <w:i/>
          <w:iCs/>
          <w:spacing w:val="-6"/>
          <w:sz w:val="28"/>
          <w:szCs w:val="28"/>
        </w:rPr>
        <w:t>Căn cứ Luật Ngân sách nhà nước số 89/2025/QH15;</w:t>
      </w:r>
    </w:p>
    <w:p w:rsidR="00285637" w:rsidRPr="00F53A15" w:rsidRDefault="00285637" w:rsidP="00F53A15">
      <w:pPr>
        <w:spacing w:before="40"/>
        <w:ind w:firstLine="567"/>
        <w:jc w:val="both"/>
        <w:rPr>
          <w:rFonts w:ascii="Times New Roman" w:hAnsi="Times New Roman" w:cs="Times New Roman"/>
          <w:i/>
          <w:iCs/>
          <w:spacing w:val="-6"/>
          <w:sz w:val="28"/>
          <w:szCs w:val="28"/>
        </w:rPr>
      </w:pPr>
      <w:r w:rsidRPr="00F53A15">
        <w:rPr>
          <w:rFonts w:ascii="Times New Roman" w:hAnsi="Times New Roman" w:cs="Times New Roman"/>
          <w:i/>
          <w:iCs/>
          <w:spacing w:val="-6"/>
          <w:sz w:val="28"/>
          <w:szCs w:val="28"/>
        </w:rPr>
        <w:t>Căn cứ Pháp lệnh Ưu đãi người có công với cách mạng số 02/2020/QH14;</w:t>
      </w:r>
    </w:p>
    <w:p w:rsidR="00285637" w:rsidRPr="00F53A15" w:rsidRDefault="00285637" w:rsidP="00F53A15">
      <w:pPr>
        <w:spacing w:before="40"/>
        <w:ind w:firstLine="567"/>
        <w:jc w:val="both"/>
        <w:rPr>
          <w:rFonts w:ascii="Times New Roman" w:hAnsi="Times New Roman" w:cs="Times New Roman"/>
          <w:i/>
          <w:iCs/>
          <w:spacing w:val="-6"/>
          <w:sz w:val="28"/>
          <w:szCs w:val="28"/>
        </w:rPr>
      </w:pPr>
      <w:r w:rsidRPr="00F53A15">
        <w:rPr>
          <w:rFonts w:ascii="Times New Roman" w:hAnsi="Times New Roman" w:cs="Times New Roman"/>
          <w:i/>
          <w:iCs/>
          <w:spacing w:val="-6"/>
          <w:sz w:val="28"/>
          <w:szCs w:val="28"/>
        </w:rPr>
        <w:t>Căn cứ Thông tư số 44/2022/TT-BTC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p>
    <w:p w:rsidR="00763174" w:rsidRPr="00F53A15" w:rsidRDefault="00EB4B72" w:rsidP="00F53A15">
      <w:pPr>
        <w:spacing w:before="40"/>
        <w:ind w:firstLine="720"/>
        <w:jc w:val="both"/>
        <w:rPr>
          <w:rFonts w:ascii="Times New Roman" w:hAnsi="Times New Roman" w:cs="Times New Roman"/>
          <w:i/>
          <w:iCs/>
          <w:spacing w:val="-6"/>
          <w:sz w:val="28"/>
          <w:szCs w:val="28"/>
        </w:rPr>
      </w:pPr>
      <w:r w:rsidRPr="00F53A15">
        <w:rPr>
          <w:rFonts w:ascii="Times New Roman" w:eastAsia="Times New Roman" w:hAnsi="Times New Roman" w:cs="Times New Roman"/>
          <w:i/>
          <w:spacing w:val="-6"/>
          <w:sz w:val="28"/>
          <w:szCs w:val="28"/>
          <w:lang w:val="nl-NL"/>
        </w:rPr>
        <w:t xml:space="preserve">Xét Tờ trình số      </w:t>
      </w:r>
      <w:hyperlink r:id="rId10" w:tgtFrame="_blank" w:history="1">
        <w:r w:rsidRPr="00F53A15">
          <w:rPr>
            <w:rFonts w:ascii="Times New Roman" w:eastAsia="Times New Roman" w:hAnsi="Times New Roman" w:cs="Times New Roman"/>
            <w:i/>
            <w:spacing w:val="-6"/>
            <w:sz w:val="28"/>
            <w:szCs w:val="28"/>
            <w:lang w:val="nl-NL"/>
          </w:rPr>
          <w:t>/TTr-UBND</w:t>
        </w:r>
      </w:hyperlink>
      <w:r w:rsidRPr="00F53A15">
        <w:rPr>
          <w:rFonts w:ascii="Times New Roman" w:eastAsia="Times New Roman" w:hAnsi="Times New Roman" w:cs="Times New Roman"/>
          <w:i/>
          <w:spacing w:val="-6"/>
          <w:sz w:val="28"/>
          <w:szCs w:val="28"/>
          <w:lang w:val="nl-NL"/>
        </w:rPr>
        <w:t xml:space="preserve"> ngày  </w:t>
      </w:r>
      <w:r w:rsidR="00B30696" w:rsidRPr="00F53A15">
        <w:rPr>
          <w:rFonts w:ascii="Times New Roman" w:eastAsia="Times New Roman" w:hAnsi="Times New Roman" w:cs="Times New Roman"/>
          <w:i/>
          <w:spacing w:val="-6"/>
          <w:sz w:val="28"/>
          <w:szCs w:val="28"/>
          <w:lang w:val="nl-NL"/>
        </w:rPr>
        <w:t xml:space="preserve"> </w:t>
      </w:r>
      <w:r w:rsidRPr="00F53A15">
        <w:rPr>
          <w:rFonts w:ascii="Times New Roman" w:eastAsia="Times New Roman" w:hAnsi="Times New Roman" w:cs="Times New Roman"/>
          <w:i/>
          <w:spacing w:val="-6"/>
          <w:sz w:val="28"/>
          <w:szCs w:val="28"/>
          <w:lang w:val="nl-NL"/>
        </w:rPr>
        <w:t xml:space="preserve"> tháng </w:t>
      </w:r>
      <w:r w:rsidR="00C36455" w:rsidRPr="00F53A15">
        <w:rPr>
          <w:rFonts w:ascii="Times New Roman" w:eastAsia="Times New Roman" w:hAnsi="Times New Roman" w:cs="Times New Roman"/>
          <w:i/>
          <w:spacing w:val="-6"/>
          <w:sz w:val="28"/>
          <w:szCs w:val="28"/>
          <w:lang w:val="nl-NL"/>
        </w:rPr>
        <w:t>12</w:t>
      </w:r>
      <w:r w:rsidRPr="00F53A15">
        <w:rPr>
          <w:rFonts w:ascii="Times New Roman" w:eastAsia="Times New Roman" w:hAnsi="Times New Roman" w:cs="Times New Roman"/>
          <w:i/>
          <w:spacing w:val="-6"/>
          <w:sz w:val="28"/>
          <w:szCs w:val="28"/>
          <w:lang w:val="nl-NL"/>
        </w:rPr>
        <w:t xml:space="preserve">  năm 2025 của Ủy ban nhân dân tỉnh</w:t>
      </w:r>
      <w:r w:rsidR="00230E6F" w:rsidRPr="00F53A15">
        <w:rPr>
          <w:rFonts w:ascii="Times New Roman" w:hAnsi="Times New Roman" w:cs="Times New Roman"/>
          <w:i/>
          <w:spacing w:val="-6"/>
          <w:sz w:val="28"/>
          <w:szCs w:val="28"/>
        </w:rPr>
        <w:t xml:space="preserve"> đề nghị ban hành Nghị quyết </w:t>
      </w:r>
      <w:r w:rsidR="00230E6F" w:rsidRPr="00F53A15">
        <w:rPr>
          <w:rFonts w:ascii="Times New Roman" w:hAnsi="Times New Roman" w:cs="Times New Roman"/>
          <w:i/>
          <w:iCs/>
          <w:spacing w:val="-6"/>
          <w:sz w:val="28"/>
          <w:szCs w:val="28"/>
        </w:rPr>
        <w:t>Quy định tỷ lệ chi phí quản lý; mức chi trả thù lao cho người trực tiếp chi trả và mức chi phí chi trả cho tổ chức dịch vụ chi trả trợ cấp cho người có công với cách mạng trên địa bàn tỉnh Tuyên Quang</w:t>
      </w:r>
      <w:r w:rsidRPr="00F53A15">
        <w:rPr>
          <w:rFonts w:ascii="Times New Roman" w:eastAsia="Times New Roman" w:hAnsi="Times New Roman" w:cs="Times New Roman"/>
          <w:i/>
          <w:spacing w:val="-6"/>
          <w:sz w:val="28"/>
          <w:szCs w:val="28"/>
          <w:lang w:val="nl-NL"/>
        </w:rPr>
        <w:t xml:space="preserve">; </w:t>
      </w:r>
      <w:r w:rsidRPr="00F53A15">
        <w:rPr>
          <w:rFonts w:ascii="Times New Roman" w:eastAsia="Times New Roman" w:hAnsi="Times New Roman" w:cs="Times New Roman"/>
          <w:i/>
          <w:spacing w:val="-6"/>
          <w:sz w:val="28"/>
          <w:szCs w:val="28"/>
          <w:lang w:val="en-GB" w:eastAsia="en-GB"/>
        </w:rPr>
        <w:t>Báo cáo thẩm tra của Ban Văn hoá - Xã hội Hội đồng nhân dân tỉnh; ý kiến thảo luận của đại biểu Hội đồng nhân dân tại kỳ họp</w:t>
      </w:r>
      <w:r w:rsidR="000D6932" w:rsidRPr="00F53A15">
        <w:rPr>
          <w:rFonts w:ascii="Times New Roman" w:eastAsia="Times New Roman" w:hAnsi="Times New Roman" w:cs="Times New Roman"/>
          <w:i/>
          <w:spacing w:val="-6"/>
          <w:sz w:val="28"/>
          <w:szCs w:val="28"/>
          <w:lang w:val="en-GB" w:eastAsia="en-GB"/>
        </w:rPr>
        <w:t>;</w:t>
      </w:r>
    </w:p>
    <w:p w:rsidR="00230E6F" w:rsidRPr="00F53A15" w:rsidRDefault="00763174" w:rsidP="00F53A15">
      <w:pPr>
        <w:suppressAutoHyphens/>
        <w:spacing w:before="40"/>
        <w:ind w:firstLine="709"/>
        <w:jc w:val="both"/>
        <w:rPr>
          <w:rFonts w:ascii="Times New Roman" w:eastAsia="Times New Roman" w:hAnsi="Times New Roman" w:cs="Times New Roman"/>
          <w:i/>
          <w:spacing w:val="-6"/>
          <w:sz w:val="28"/>
          <w:szCs w:val="28"/>
          <w:lang w:val="en-GB" w:eastAsia="en-GB"/>
        </w:rPr>
      </w:pPr>
      <w:r w:rsidRPr="00F53A15">
        <w:rPr>
          <w:rFonts w:ascii="Times New Roman" w:hAnsi="Times New Roman" w:cs="Times New Roman"/>
          <w:i/>
          <w:spacing w:val="-6"/>
          <w:sz w:val="28"/>
          <w:szCs w:val="28"/>
        </w:rPr>
        <w:t xml:space="preserve">Hội đồng nhân dân ban hành </w:t>
      </w:r>
      <w:r w:rsidRPr="00F53A15">
        <w:rPr>
          <w:rFonts w:ascii="Times New Roman" w:hAnsi="Times New Roman" w:cs="Times New Roman"/>
          <w:i/>
          <w:spacing w:val="-6"/>
          <w:sz w:val="28"/>
          <w:szCs w:val="28"/>
          <w:lang w:val="vi-VN"/>
        </w:rPr>
        <w:t>Nghị quyết</w:t>
      </w:r>
      <w:r w:rsidRPr="00F53A15">
        <w:rPr>
          <w:rFonts w:ascii="Times New Roman" w:hAnsi="Times New Roman" w:cs="Times New Roman"/>
          <w:i/>
          <w:iCs/>
          <w:spacing w:val="-6"/>
          <w:sz w:val="28"/>
          <w:szCs w:val="28"/>
        </w:rPr>
        <w:t xml:space="preserve"> Quy định tỷ lệ chi phí quản lý; mức chi trả thù lao cho người trực tiếp chi trả và mức chi phí chi trả cho tổ chức dịch vụ chi trả trợ cấp cho người có công với cách mạng trên địa bàn tỉnh Tuyên Quang</w:t>
      </w:r>
      <w:r w:rsidR="000D6932" w:rsidRPr="00F53A15">
        <w:rPr>
          <w:rFonts w:ascii="Times New Roman" w:hAnsi="Times New Roman" w:cs="Times New Roman"/>
          <w:i/>
          <w:iCs/>
          <w:spacing w:val="-6"/>
          <w:sz w:val="28"/>
          <w:szCs w:val="28"/>
        </w:rPr>
        <w:t>.</w:t>
      </w:r>
      <w:r w:rsidRPr="00F53A15">
        <w:rPr>
          <w:rFonts w:ascii="Times New Roman" w:hAnsi="Times New Roman" w:cs="Times New Roman"/>
          <w:i/>
          <w:iCs/>
          <w:spacing w:val="-6"/>
          <w:sz w:val="28"/>
          <w:szCs w:val="28"/>
        </w:rPr>
        <w:t xml:space="preserve"> </w:t>
      </w:r>
      <w:bookmarkStart w:id="0" w:name="dieu_1"/>
    </w:p>
    <w:p w:rsidR="00763174" w:rsidRPr="00F53A15" w:rsidRDefault="00763174" w:rsidP="00F53A15">
      <w:pPr>
        <w:spacing w:before="40"/>
        <w:ind w:firstLine="720"/>
        <w:jc w:val="both"/>
        <w:rPr>
          <w:rFonts w:ascii="Times New Roman" w:hAnsi="Times New Roman" w:cs="Times New Roman"/>
          <w:b/>
          <w:spacing w:val="-6"/>
          <w:sz w:val="28"/>
          <w:szCs w:val="28"/>
        </w:rPr>
      </w:pPr>
      <w:r w:rsidRPr="00F53A15">
        <w:rPr>
          <w:rFonts w:ascii="Times New Roman" w:hAnsi="Times New Roman" w:cs="Times New Roman"/>
          <w:b/>
          <w:spacing w:val="-6"/>
          <w:sz w:val="28"/>
          <w:szCs w:val="28"/>
        </w:rPr>
        <w:t>Điều 1. Phạm vi điều chỉnh</w:t>
      </w:r>
      <w:r w:rsidR="00285637" w:rsidRPr="00F53A15">
        <w:rPr>
          <w:rFonts w:ascii="Times New Roman" w:hAnsi="Times New Roman" w:cs="Times New Roman"/>
          <w:b/>
          <w:spacing w:val="-6"/>
          <w:sz w:val="28"/>
          <w:szCs w:val="28"/>
        </w:rPr>
        <w:t>, đối tượng áp dụng</w:t>
      </w:r>
    </w:p>
    <w:p w:rsidR="00285637" w:rsidRPr="00F53A15" w:rsidRDefault="00285637"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1. Phạm vị điều chỉnh</w:t>
      </w:r>
    </w:p>
    <w:p w:rsidR="00A17CA6" w:rsidRPr="00F53A15" w:rsidRDefault="00A17CA6"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xml:space="preserve">Nghị quyết này quy định mức chi phí quản lý thực hiện Pháp lệnh ưu đãi Người có công với cách mạng do ngân sách Trung ương đảm bảo trên địa bàn tỉnh </w:t>
      </w:r>
      <w:r w:rsidRPr="00F53A15">
        <w:rPr>
          <w:rFonts w:ascii="Times New Roman" w:hAnsi="Times New Roman" w:cs="Times New Roman"/>
          <w:spacing w:val="-6"/>
          <w:sz w:val="28"/>
          <w:szCs w:val="28"/>
          <w:lang w:val="vi-VN"/>
        </w:rPr>
        <w:t>Tuyên Quang</w:t>
      </w:r>
      <w:r w:rsidR="00AE1279" w:rsidRPr="00F53A15">
        <w:rPr>
          <w:rFonts w:ascii="Times New Roman" w:hAnsi="Times New Roman" w:cs="Times New Roman"/>
          <w:spacing w:val="-6"/>
          <w:sz w:val="28"/>
          <w:szCs w:val="28"/>
        </w:rPr>
        <w:t xml:space="preserve"> theo quy định tại Điều 7</w:t>
      </w:r>
      <w:r w:rsidR="00AE1279" w:rsidRPr="00F53A15">
        <w:rPr>
          <w:rFonts w:ascii="Times New Roman" w:hAnsi="Times New Roman" w:cs="Times New Roman"/>
          <w:iCs/>
          <w:spacing w:val="-6"/>
          <w:sz w:val="28"/>
          <w:szCs w:val="28"/>
        </w:rPr>
        <w:t xml:space="preserve"> Thông tư số 44/2022/TT-BTC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w:t>
      </w:r>
    </w:p>
    <w:p w:rsidR="00763174" w:rsidRPr="00F53A15" w:rsidRDefault="00763174" w:rsidP="00F53A15">
      <w:pPr>
        <w:widowControl w:val="0"/>
        <w:spacing w:before="40"/>
        <w:ind w:firstLine="720"/>
        <w:jc w:val="both"/>
        <w:rPr>
          <w:rFonts w:ascii="Times New Roman" w:hAnsi="Times New Roman" w:cs="Times New Roman"/>
          <w:spacing w:val="-6"/>
          <w:sz w:val="28"/>
          <w:szCs w:val="28"/>
          <w:lang w:val="nl-NL"/>
        </w:rPr>
      </w:pPr>
      <w:r w:rsidRPr="00F53A15">
        <w:rPr>
          <w:rFonts w:ascii="Times New Roman" w:hAnsi="Times New Roman" w:cs="Times New Roman"/>
          <w:spacing w:val="-6"/>
          <w:sz w:val="28"/>
          <w:szCs w:val="28"/>
          <w:lang w:val="nl-NL"/>
        </w:rPr>
        <w:t>2. Đối tượng áp dụng</w:t>
      </w:r>
    </w:p>
    <w:p w:rsidR="00763174" w:rsidRPr="00F53A15" w:rsidRDefault="00DC49CD" w:rsidP="00F53A15">
      <w:pPr>
        <w:spacing w:before="40"/>
        <w:ind w:firstLine="720"/>
        <w:jc w:val="both"/>
        <w:rPr>
          <w:rStyle w:val="fontstyle01"/>
          <w:i w:val="0"/>
          <w:color w:val="auto"/>
          <w:spacing w:val="-6"/>
        </w:rPr>
      </w:pPr>
      <w:r w:rsidRPr="00F53A15">
        <w:rPr>
          <w:rStyle w:val="fontstyle01"/>
          <w:i w:val="0"/>
          <w:color w:val="auto"/>
          <w:spacing w:val="-6"/>
        </w:rPr>
        <w:t>1</w:t>
      </w:r>
      <w:r w:rsidR="00763174" w:rsidRPr="00F53A15">
        <w:rPr>
          <w:rStyle w:val="fontstyle01"/>
          <w:i w:val="0"/>
          <w:color w:val="auto"/>
          <w:spacing w:val="-6"/>
        </w:rPr>
        <w:t xml:space="preserve">. Cấp tỉnh: Cơ quan </w:t>
      </w:r>
      <w:r w:rsidR="0041552E" w:rsidRPr="00F53A15">
        <w:rPr>
          <w:rStyle w:val="fontstyle01"/>
          <w:i w:val="0"/>
          <w:color w:val="auto"/>
          <w:spacing w:val="-6"/>
        </w:rPr>
        <w:t xml:space="preserve">Sở </w:t>
      </w:r>
      <w:r w:rsidR="00763174" w:rsidRPr="00F53A15">
        <w:rPr>
          <w:rStyle w:val="fontstyle01"/>
          <w:i w:val="0"/>
          <w:color w:val="auto"/>
          <w:spacing w:val="-6"/>
        </w:rPr>
        <w:t>Nội vụ</w:t>
      </w:r>
      <w:r w:rsidR="00B43FB2" w:rsidRPr="00F53A15">
        <w:rPr>
          <w:rStyle w:val="fontstyle01"/>
          <w:i w:val="0"/>
          <w:color w:val="auto"/>
          <w:spacing w:val="-6"/>
        </w:rPr>
        <w:t xml:space="preserve">, các cơ quan, đơn vị, tổ chức, cá nhân có liên quan </w:t>
      </w:r>
      <w:r w:rsidR="00763174" w:rsidRPr="00F53A15">
        <w:rPr>
          <w:rStyle w:val="fontstyle01"/>
          <w:i w:val="0"/>
          <w:color w:val="auto"/>
          <w:spacing w:val="-6"/>
        </w:rPr>
        <w:t>được giao quản lý và sử dụng kinh phí người có công với cách mạng.</w:t>
      </w:r>
    </w:p>
    <w:p w:rsidR="00763174" w:rsidRPr="00F53A15" w:rsidRDefault="00DC49CD" w:rsidP="00F53A15">
      <w:pPr>
        <w:spacing w:before="40"/>
        <w:ind w:firstLine="720"/>
        <w:jc w:val="both"/>
        <w:rPr>
          <w:rStyle w:val="fontstyle01"/>
          <w:i w:val="0"/>
          <w:color w:val="auto"/>
          <w:spacing w:val="-6"/>
        </w:rPr>
      </w:pPr>
      <w:r w:rsidRPr="00F53A15">
        <w:rPr>
          <w:rStyle w:val="fontstyle01"/>
          <w:i w:val="0"/>
          <w:color w:val="auto"/>
          <w:spacing w:val="-6"/>
        </w:rPr>
        <w:t>2</w:t>
      </w:r>
      <w:r w:rsidR="00763174" w:rsidRPr="00F53A15">
        <w:rPr>
          <w:rStyle w:val="fontstyle01"/>
          <w:i w:val="0"/>
          <w:color w:val="auto"/>
          <w:spacing w:val="-6"/>
        </w:rPr>
        <w:t>. Cấ</w:t>
      </w:r>
      <w:r w:rsidR="00E62E7E" w:rsidRPr="00F53A15">
        <w:rPr>
          <w:rStyle w:val="fontstyle01"/>
          <w:i w:val="0"/>
          <w:color w:val="auto"/>
          <w:spacing w:val="-6"/>
        </w:rPr>
        <w:t>p xã</w:t>
      </w:r>
      <w:r w:rsidR="00763174" w:rsidRPr="00F53A15">
        <w:rPr>
          <w:rStyle w:val="fontstyle01"/>
          <w:i w:val="0"/>
          <w:color w:val="auto"/>
          <w:spacing w:val="-6"/>
        </w:rPr>
        <w:t>: Cơ quan được giao quản lý và sử dụng kinh phí chi trả trợ cấp ưu đãi người có công với cách mạng, tổ chức dịch vụ chi trả và các tổ chức, cá nhân có liên quan đến việc quản lý, chi trả các loại trợ cấp ưu đãi người có công với cách mạng trên địa bàn tỉnh.</w:t>
      </w:r>
    </w:p>
    <w:p w:rsidR="00763174" w:rsidRPr="00F53A15" w:rsidRDefault="00763174" w:rsidP="00F53A15">
      <w:pPr>
        <w:spacing w:before="40"/>
        <w:ind w:firstLine="720"/>
        <w:jc w:val="both"/>
        <w:rPr>
          <w:rFonts w:ascii="Times New Roman" w:hAnsi="Times New Roman" w:cs="Times New Roman"/>
          <w:b/>
          <w:spacing w:val="-6"/>
          <w:sz w:val="28"/>
          <w:szCs w:val="28"/>
          <w:lang w:val="nl-NL"/>
        </w:rPr>
      </w:pPr>
      <w:r w:rsidRPr="00F53A15">
        <w:rPr>
          <w:rFonts w:ascii="Times New Roman" w:hAnsi="Times New Roman" w:cs="Times New Roman"/>
          <w:b/>
          <w:bCs/>
          <w:spacing w:val="-6"/>
          <w:sz w:val="28"/>
          <w:szCs w:val="28"/>
        </w:rPr>
        <w:lastRenderedPageBreak/>
        <w:t xml:space="preserve">Điều </w:t>
      </w:r>
      <w:r w:rsidR="00285637" w:rsidRPr="00F53A15">
        <w:rPr>
          <w:rFonts w:ascii="Times New Roman" w:hAnsi="Times New Roman" w:cs="Times New Roman"/>
          <w:b/>
          <w:bCs/>
          <w:spacing w:val="-6"/>
          <w:sz w:val="28"/>
          <w:szCs w:val="28"/>
        </w:rPr>
        <w:t>2</w:t>
      </w:r>
      <w:r w:rsidRPr="00F53A15">
        <w:rPr>
          <w:rFonts w:ascii="Times New Roman" w:hAnsi="Times New Roman" w:cs="Times New Roman"/>
          <w:b/>
          <w:bCs/>
          <w:spacing w:val="-6"/>
          <w:sz w:val="28"/>
          <w:szCs w:val="28"/>
        </w:rPr>
        <w:t xml:space="preserve">. </w:t>
      </w:r>
      <w:r w:rsidR="00285637" w:rsidRPr="00F53A15">
        <w:rPr>
          <w:rFonts w:ascii="Times New Roman" w:hAnsi="Times New Roman" w:cs="Times New Roman"/>
          <w:b/>
          <w:spacing w:val="-6"/>
          <w:sz w:val="28"/>
          <w:szCs w:val="28"/>
          <w:lang w:val="nl-NL"/>
        </w:rPr>
        <w:t xml:space="preserve">Tỷ lệ phí chi trả </w:t>
      </w:r>
      <w:r w:rsidR="00285637" w:rsidRPr="00F53A15">
        <w:rPr>
          <w:rFonts w:ascii="Times New Roman" w:hAnsi="Times New Roman" w:cs="Times New Roman"/>
          <w:b/>
          <w:iCs/>
          <w:spacing w:val="-6"/>
          <w:sz w:val="28"/>
          <w:szCs w:val="28"/>
        </w:rPr>
        <w:t>chi phí quản lý</w:t>
      </w:r>
      <w:r w:rsidR="00285637" w:rsidRPr="00F53A15">
        <w:rPr>
          <w:rFonts w:ascii="Times New Roman" w:hAnsi="Times New Roman" w:cs="Times New Roman"/>
          <w:b/>
          <w:spacing w:val="-6"/>
          <w:sz w:val="28"/>
          <w:szCs w:val="28"/>
          <w:lang w:val="nl-NL"/>
        </w:rPr>
        <w:t>, m</w:t>
      </w:r>
      <w:r w:rsidR="00285637" w:rsidRPr="00F53A15">
        <w:rPr>
          <w:rFonts w:ascii="Times New Roman" w:hAnsi="Times New Roman" w:cs="Times New Roman"/>
          <w:b/>
          <w:spacing w:val="-6"/>
          <w:sz w:val="28"/>
          <w:szCs w:val="28"/>
        </w:rPr>
        <w:t>ức chi trả thù lao cho người trực tiếp chi trả hoặc tổ chức dịch vụ chi trả</w:t>
      </w:r>
    </w:p>
    <w:p w:rsidR="009107E9" w:rsidRPr="00F53A15" w:rsidRDefault="00763174"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lang w:val="nl-NL"/>
        </w:rPr>
        <w:t>1.</w:t>
      </w:r>
      <w:r w:rsidRPr="00F53A15">
        <w:rPr>
          <w:rFonts w:ascii="Times New Roman" w:hAnsi="Times New Roman" w:cs="Times New Roman"/>
          <w:b/>
          <w:spacing w:val="-6"/>
          <w:sz w:val="28"/>
          <w:szCs w:val="28"/>
          <w:lang w:val="nl-NL"/>
        </w:rPr>
        <w:t xml:space="preserve"> </w:t>
      </w:r>
      <w:r w:rsidRPr="00F53A15">
        <w:rPr>
          <w:rFonts w:ascii="Times New Roman" w:hAnsi="Times New Roman" w:cs="Times New Roman"/>
          <w:spacing w:val="-6"/>
          <w:sz w:val="28"/>
          <w:szCs w:val="28"/>
          <w:lang w:val="nl-NL"/>
        </w:rPr>
        <w:t xml:space="preserve">Mức tỷ lệ phí chi trả </w:t>
      </w:r>
      <w:r w:rsidRPr="00F53A15">
        <w:rPr>
          <w:rFonts w:ascii="Times New Roman" w:hAnsi="Times New Roman" w:cs="Times New Roman"/>
          <w:iCs/>
          <w:spacing w:val="-6"/>
          <w:sz w:val="28"/>
          <w:szCs w:val="28"/>
        </w:rPr>
        <w:t>chi phí quả</w:t>
      </w:r>
      <w:r w:rsidR="0097169F" w:rsidRPr="00F53A15">
        <w:rPr>
          <w:rFonts w:ascii="Times New Roman" w:hAnsi="Times New Roman" w:cs="Times New Roman"/>
          <w:iCs/>
          <w:spacing w:val="-6"/>
          <w:sz w:val="28"/>
          <w:szCs w:val="28"/>
        </w:rPr>
        <w:t>n lý.</w:t>
      </w:r>
      <w:r w:rsidRPr="00F53A15">
        <w:rPr>
          <w:rFonts w:ascii="Times New Roman" w:hAnsi="Times New Roman" w:cs="Times New Roman"/>
          <w:iCs/>
          <w:spacing w:val="-6"/>
          <w:sz w:val="28"/>
          <w:szCs w:val="28"/>
        </w:rPr>
        <w:t xml:space="preserve"> </w:t>
      </w:r>
    </w:p>
    <w:p w:rsidR="009107E9" w:rsidRPr="00F53A15" w:rsidRDefault="009107E9"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xml:space="preserve">a) Cấp tỉnh: Mức tỷ lệ không vượt quá 30% tổng dự toán giao. </w:t>
      </w:r>
    </w:p>
    <w:p w:rsidR="009107E9" w:rsidRPr="00F53A15" w:rsidRDefault="009107E9"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b) Cấp xã: Mức tỷ lệ cho các xã, phường không thấp hơn 70% tổng dự toán được giao trong năm.</w:t>
      </w:r>
    </w:p>
    <w:p w:rsidR="009107E9" w:rsidRPr="00F53A15" w:rsidRDefault="009107E9"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xml:space="preserve">Trong đó: </w:t>
      </w:r>
    </w:p>
    <w:p w:rsidR="009107E9" w:rsidRPr="00F53A15" w:rsidRDefault="009107E9"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xml:space="preserve">- Đối với các xã, phường có từ 1 đến 16 đối tượng tỷ </w:t>
      </w:r>
      <w:r w:rsidR="00541D16" w:rsidRPr="00F53A15">
        <w:rPr>
          <w:rFonts w:ascii="Times New Roman" w:hAnsi="Times New Roman" w:cs="Times New Roman"/>
          <w:spacing w:val="-6"/>
          <w:sz w:val="28"/>
          <w:szCs w:val="28"/>
        </w:rPr>
        <w:t xml:space="preserve">lệ </w:t>
      </w:r>
      <w:r w:rsidRPr="00F53A15">
        <w:rPr>
          <w:rFonts w:ascii="Times New Roman" w:hAnsi="Times New Roman" w:cs="Times New Roman"/>
          <w:spacing w:val="-6"/>
          <w:sz w:val="28"/>
          <w:szCs w:val="28"/>
        </w:rPr>
        <w:t>phí chi quản lý được giao không quá 100</w:t>
      </w:r>
      <w:r w:rsidR="00DB1529" w:rsidRPr="00F53A15">
        <w:rPr>
          <w:rFonts w:ascii="Times New Roman" w:hAnsi="Times New Roman" w:cs="Times New Roman"/>
          <w:spacing w:val="-6"/>
          <w:sz w:val="28"/>
          <w:szCs w:val="28"/>
        </w:rPr>
        <w:t xml:space="preserve"> triệu đồng</w:t>
      </w:r>
      <w:r w:rsidRPr="00F53A15">
        <w:rPr>
          <w:rFonts w:ascii="Times New Roman" w:hAnsi="Times New Roman" w:cs="Times New Roman"/>
          <w:spacing w:val="-6"/>
          <w:sz w:val="28"/>
          <w:szCs w:val="28"/>
        </w:rPr>
        <w:t>/xã, phường/năm.</w:t>
      </w:r>
    </w:p>
    <w:p w:rsidR="009107E9" w:rsidRPr="00F53A15" w:rsidRDefault="009107E9"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Đối với các xã, phường có trên 16 đối tượng tính theo tỷ lệ %.</w:t>
      </w:r>
    </w:p>
    <w:p w:rsidR="003771B8" w:rsidRPr="00F53A15" w:rsidRDefault="0097169F"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2. Mức chi trả thù lao cho người trực tiếp chi trả hoặc tổ chức dịch vụ chi trả.</w:t>
      </w:r>
    </w:p>
    <w:p w:rsidR="000208E8" w:rsidRPr="00F53A15" w:rsidRDefault="0097169F" w:rsidP="00F53A15">
      <w:pPr>
        <w:spacing w:before="40"/>
        <w:ind w:firstLine="720"/>
        <w:jc w:val="both"/>
        <w:rPr>
          <w:rFonts w:ascii="Times New Roman" w:hAnsi="Times New Roman" w:cs="Times New Roman"/>
          <w:spacing w:val="-6"/>
          <w:sz w:val="28"/>
          <w:szCs w:val="28"/>
        </w:rPr>
      </w:pPr>
      <w:r w:rsidRPr="00F53A15">
        <w:rPr>
          <w:rFonts w:ascii="Times New Roman" w:hAnsi="Times New Roman" w:cs="Times New Roman"/>
          <w:spacing w:val="-6"/>
          <w:sz w:val="28"/>
          <w:szCs w:val="28"/>
        </w:rPr>
        <w:t>-  Đối với các xã, phường có t</w:t>
      </w:r>
      <w:r w:rsidRPr="00F53A15">
        <w:rPr>
          <w:rFonts w:ascii="Times New Roman" w:hAnsi="Times New Roman" w:cs="Times New Roman"/>
          <w:bCs/>
          <w:spacing w:val="-6"/>
          <w:sz w:val="28"/>
          <w:szCs w:val="28"/>
        </w:rPr>
        <w:t xml:space="preserve">ừ 01 -50 đối tượng </w:t>
      </w:r>
      <w:r w:rsidR="000208E8" w:rsidRPr="00F53A15">
        <w:rPr>
          <w:rFonts w:ascii="Times New Roman" w:hAnsi="Times New Roman" w:cs="Times New Roman"/>
          <w:bCs/>
          <w:spacing w:val="-6"/>
          <w:sz w:val="28"/>
          <w:szCs w:val="28"/>
        </w:rPr>
        <w:t xml:space="preserve">và </w:t>
      </w:r>
      <w:r w:rsidR="000208E8" w:rsidRPr="00F53A15">
        <w:rPr>
          <w:rFonts w:ascii="Times New Roman" w:hAnsi="Times New Roman" w:cs="Times New Roman"/>
          <w:spacing w:val="-6"/>
          <w:sz w:val="28"/>
          <w:szCs w:val="28"/>
        </w:rPr>
        <w:t>các xã, phường thuộc vùng có phụ cấp khu vực</w:t>
      </w:r>
      <w:r w:rsidR="000208E8" w:rsidRPr="00F53A15">
        <w:rPr>
          <w:rFonts w:ascii="Times New Roman" w:hAnsi="Times New Roman" w:cs="Times New Roman"/>
          <w:bCs/>
          <w:spacing w:val="-6"/>
          <w:sz w:val="28"/>
          <w:szCs w:val="28"/>
        </w:rPr>
        <w:t xml:space="preserve"> 0,5 và 0,7 mức tỷ lệ 1%.</w:t>
      </w:r>
    </w:p>
    <w:p w:rsidR="0097169F" w:rsidRPr="00F53A15" w:rsidRDefault="0097169F" w:rsidP="00F53A15">
      <w:pPr>
        <w:spacing w:before="40"/>
        <w:ind w:firstLine="720"/>
        <w:jc w:val="both"/>
        <w:rPr>
          <w:rFonts w:ascii="Times New Roman" w:hAnsi="Times New Roman" w:cs="Times New Roman"/>
          <w:bCs/>
          <w:spacing w:val="-6"/>
          <w:sz w:val="28"/>
          <w:szCs w:val="28"/>
        </w:rPr>
      </w:pPr>
      <w:r w:rsidRPr="00F53A15">
        <w:rPr>
          <w:rFonts w:ascii="Times New Roman" w:hAnsi="Times New Roman" w:cs="Times New Roman"/>
          <w:b/>
          <w:bCs/>
          <w:spacing w:val="-6"/>
          <w:sz w:val="28"/>
          <w:szCs w:val="28"/>
        </w:rPr>
        <w:t xml:space="preserve">- </w:t>
      </w:r>
      <w:r w:rsidRPr="00F53A15">
        <w:rPr>
          <w:rFonts w:ascii="Times New Roman" w:hAnsi="Times New Roman" w:cs="Times New Roman"/>
          <w:spacing w:val="-6"/>
          <w:sz w:val="28"/>
          <w:szCs w:val="28"/>
        </w:rPr>
        <w:t>Đối với các xã, phường thuộc vùng có phụ cấp khu vực</w:t>
      </w:r>
      <w:r w:rsidRPr="00F53A15">
        <w:rPr>
          <w:rFonts w:ascii="Times New Roman" w:hAnsi="Times New Roman" w:cs="Times New Roman"/>
          <w:bCs/>
          <w:spacing w:val="-6"/>
          <w:sz w:val="28"/>
          <w:szCs w:val="28"/>
        </w:rPr>
        <w:t xml:space="preserve"> 0,2; 0,3 và 0,4 mức tỷ lệ 0,3%.</w:t>
      </w:r>
    </w:p>
    <w:p w:rsidR="0097169F" w:rsidRPr="00F53A15" w:rsidRDefault="00DB1529" w:rsidP="00F53A15">
      <w:pPr>
        <w:spacing w:before="40"/>
        <w:ind w:firstLine="720"/>
        <w:jc w:val="center"/>
        <w:rPr>
          <w:rFonts w:ascii="Times New Roman" w:hAnsi="Times New Roman" w:cs="Times New Roman"/>
          <w:spacing w:val="-6"/>
          <w:sz w:val="28"/>
          <w:szCs w:val="28"/>
          <w:lang w:val="nl-NL"/>
        </w:rPr>
      </w:pPr>
      <w:r w:rsidRPr="00F53A15">
        <w:rPr>
          <w:rFonts w:ascii="Times New Roman" w:eastAsia="Times New Roman" w:hAnsi="Times New Roman" w:cs="Times New Roman"/>
          <w:i/>
          <w:spacing w:val="-6"/>
          <w:sz w:val="28"/>
          <w:szCs w:val="28"/>
        </w:rPr>
        <w:t xml:space="preserve"> </w:t>
      </w:r>
      <w:r w:rsidR="0097169F" w:rsidRPr="00F53A15">
        <w:rPr>
          <w:rFonts w:ascii="Times New Roman" w:eastAsia="Times New Roman" w:hAnsi="Times New Roman" w:cs="Times New Roman"/>
          <w:i/>
          <w:spacing w:val="-6"/>
          <w:sz w:val="28"/>
          <w:szCs w:val="28"/>
        </w:rPr>
        <w:t>(</w:t>
      </w:r>
      <w:r w:rsidR="003771B8" w:rsidRPr="00F53A15">
        <w:rPr>
          <w:rFonts w:ascii="Times New Roman" w:eastAsia="Times New Roman" w:hAnsi="Times New Roman" w:cs="Times New Roman"/>
          <w:i/>
          <w:spacing w:val="-6"/>
          <w:sz w:val="28"/>
          <w:szCs w:val="28"/>
        </w:rPr>
        <w:t>C</w:t>
      </w:r>
      <w:r w:rsidR="0097169F" w:rsidRPr="00F53A15">
        <w:rPr>
          <w:rFonts w:ascii="Times New Roman" w:eastAsia="Times New Roman" w:hAnsi="Times New Roman" w:cs="Times New Roman"/>
          <w:i/>
          <w:spacing w:val="-6"/>
          <w:sz w:val="28"/>
          <w:szCs w:val="28"/>
        </w:rPr>
        <w:t xml:space="preserve">ó biểu </w:t>
      </w:r>
      <w:r w:rsidR="00F53A15" w:rsidRPr="00F53A15">
        <w:rPr>
          <w:rFonts w:ascii="Times New Roman" w:eastAsia="Times New Roman" w:hAnsi="Times New Roman" w:cs="Times New Roman"/>
          <w:i/>
          <w:spacing w:val="-6"/>
          <w:sz w:val="28"/>
          <w:szCs w:val="28"/>
        </w:rPr>
        <w:t>kèm theo)</w:t>
      </w:r>
    </w:p>
    <w:p w:rsidR="008771AC" w:rsidRPr="00F53A15" w:rsidRDefault="00DB1529" w:rsidP="00F53A15">
      <w:pPr>
        <w:spacing w:before="40"/>
        <w:ind w:firstLine="720"/>
        <w:jc w:val="both"/>
        <w:rPr>
          <w:rFonts w:ascii="Times New Roman" w:hAnsi="Times New Roman" w:cs="Times New Roman"/>
          <w:spacing w:val="-6"/>
          <w:sz w:val="28"/>
          <w:szCs w:val="28"/>
          <w:lang w:val="nl-NL"/>
        </w:rPr>
      </w:pPr>
      <w:r w:rsidRPr="00F53A15">
        <w:rPr>
          <w:rFonts w:ascii="Times New Roman" w:hAnsi="Times New Roman" w:cs="Times New Roman"/>
          <w:spacing w:val="-6"/>
          <w:sz w:val="28"/>
          <w:szCs w:val="28"/>
          <w:lang w:val="nl-NL"/>
        </w:rPr>
        <w:t>3</w:t>
      </w:r>
      <w:r w:rsidR="00763174" w:rsidRPr="00F53A15">
        <w:rPr>
          <w:rFonts w:ascii="Times New Roman" w:hAnsi="Times New Roman" w:cs="Times New Roman"/>
          <w:spacing w:val="-6"/>
          <w:sz w:val="28"/>
          <w:szCs w:val="28"/>
          <w:lang w:val="nl-NL"/>
        </w:rPr>
        <w:t xml:space="preserve">. </w:t>
      </w:r>
      <w:r w:rsidR="008771AC" w:rsidRPr="00F53A15">
        <w:rPr>
          <w:rFonts w:ascii="Times New Roman" w:hAnsi="Times New Roman" w:cs="Times New Roman"/>
          <w:iCs/>
          <w:spacing w:val="-6"/>
          <w:sz w:val="28"/>
          <w:szCs w:val="28"/>
        </w:rPr>
        <w:t>Nguồn kinh phí thực hiện được bố trí từ nguồn ngân sách trung ương bổ sung có mục tiêu cho ngân sách địa phương để thực hiện chính sách, chế độ theo Pháp lệnh Ưu đãi người có công.</w:t>
      </w:r>
      <w:r w:rsidR="008771AC" w:rsidRPr="00F53A15">
        <w:rPr>
          <w:rFonts w:ascii="Times New Roman" w:hAnsi="Times New Roman" w:cs="Times New Roman"/>
          <w:spacing w:val="-6"/>
          <w:sz w:val="28"/>
          <w:szCs w:val="28"/>
          <w:lang w:val="nl-NL"/>
        </w:rPr>
        <w:t xml:space="preserve"> </w:t>
      </w:r>
    </w:p>
    <w:bookmarkEnd w:id="0"/>
    <w:p w:rsidR="00763174" w:rsidRPr="00F53A15" w:rsidRDefault="007C2476" w:rsidP="00F53A15">
      <w:pPr>
        <w:spacing w:before="40"/>
        <w:ind w:firstLine="720"/>
        <w:jc w:val="both"/>
        <w:rPr>
          <w:rFonts w:ascii="Times New Roman" w:hAnsi="Times New Roman" w:cs="Times New Roman"/>
          <w:b/>
          <w:spacing w:val="-6"/>
          <w:sz w:val="28"/>
          <w:szCs w:val="28"/>
          <w:lang w:val="vi-VN"/>
        </w:rPr>
      </w:pPr>
      <w:r w:rsidRPr="00F53A15">
        <w:rPr>
          <w:rFonts w:ascii="Times New Roman" w:hAnsi="Times New Roman" w:cs="Times New Roman"/>
          <w:b/>
          <w:spacing w:val="-6"/>
          <w:sz w:val="28"/>
          <w:szCs w:val="28"/>
          <w:lang w:val="nl-NL"/>
        </w:rPr>
        <w:t xml:space="preserve">Điều 3. </w:t>
      </w:r>
      <w:r w:rsidRPr="00F53A15">
        <w:rPr>
          <w:rFonts w:ascii="Times New Roman" w:hAnsi="Times New Roman" w:cs="Times New Roman"/>
          <w:b/>
          <w:spacing w:val="-6"/>
          <w:sz w:val="28"/>
          <w:szCs w:val="28"/>
          <w:lang w:val="vi-VN"/>
        </w:rPr>
        <w:t>Tổ chức thực hiện</w:t>
      </w:r>
      <w:r w:rsidRPr="00F53A15">
        <w:rPr>
          <w:rFonts w:ascii="Times New Roman" w:hAnsi="Times New Roman" w:cs="Times New Roman"/>
          <w:b/>
          <w:spacing w:val="-6"/>
          <w:sz w:val="28"/>
          <w:szCs w:val="28"/>
          <w:lang w:val="nl-NL"/>
        </w:rPr>
        <w:t xml:space="preserve"> </w:t>
      </w:r>
    </w:p>
    <w:p w:rsidR="00763174" w:rsidRPr="00F53A15" w:rsidRDefault="007C2476" w:rsidP="00F53A15">
      <w:pPr>
        <w:spacing w:before="40"/>
        <w:ind w:firstLine="720"/>
        <w:jc w:val="both"/>
        <w:rPr>
          <w:rFonts w:ascii="Times New Roman" w:hAnsi="Times New Roman" w:cs="Times New Roman"/>
          <w:spacing w:val="-6"/>
          <w:sz w:val="28"/>
          <w:szCs w:val="28"/>
          <w:lang w:val="nl-NL"/>
        </w:rPr>
      </w:pPr>
      <w:r w:rsidRPr="00F53A15">
        <w:rPr>
          <w:rFonts w:ascii="Times New Roman" w:hAnsi="Times New Roman" w:cs="Times New Roman"/>
          <w:spacing w:val="-6"/>
          <w:sz w:val="28"/>
          <w:szCs w:val="28"/>
          <w:lang w:val="nl-NL"/>
        </w:rPr>
        <w:t xml:space="preserve">1. </w:t>
      </w:r>
      <w:r w:rsidR="00763174" w:rsidRPr="00F53A15">
        <w:rPr>
          <w:rFonts w:ascii="Times New Roman" w:hAnsi="Times New Roman" w:cs="Times New Roman"/>
          <w:spacing w:val="-6"/>
          <w:sz w:val="28"/>
          <w:szCs w:val="28"/>
          <w:lang w:val="nl-NL"/>
        </w:rPr>
        <w:t xml:space="preserve">Nghị quyết này có hiệu lực từ </w:t>
      </w:r>
      <w:r w:rsidR="00B43FB2" w:rsidRPr="00F53A15">
        <w:rPr>
          <w:rFonts w:ascii="Times New Roman" w:hAnsi="Times New Roman" w:cs="Times New Roman"/>
          <w:spacing w:val="-6"/>
          <w:sz w:val="28"/>
          <w:szCs w:val="28"/>
          <w:lang w:val="nl-NL"/>
        </w:rPr>
        <w:t>ngày 01 tháng 01 năm 2025</w:t>
      </w:r>
      <w:r w:rsidR="00763174" w:rsidRPr="00F53A15">
        <w:rPr>
          <w:rFonts w:ascii="Times New Roman" w:hAnsi="Times New Roman" w:cs="Times New Roman"/>
          <w:spacing w:val="-6"/>
          <w:sz w:val="28"/>
          <w:szCs w:val="28"/>
          <w:lang w:val="nl-NL"/>
        </w:rPr>
        <w:t>.</w:t>
      </w:r>
    </w:p>
    <w:p w:rsidR="00763174" w:rsidRPr="00F53A15" w:rsidRDefault="007C2476" w:rsidP="00F53A15">
      <w:pPr>
        <w:spacing w:before="40"/>
        <w:ind w:firstLine="720"/>
        <w:jc w:val="both"/>
        <w:rPr>
          <w:rFonts w:ascii="Times New Roman" w:hAnsi="Times New Roman" w:cs="Times New Roman"/>
          <w:spacing w:val="-6"/>
          <w:sz w:val="28"/>
          <w:szCs w:val="28"/>
          <w:lang w:val="vi-VN"/>
        </w:rPr>
      </w:pPr>
      <w:r w:rsidRPr="00F53A15">
        <w:rPr>
          <w:rFonts w:ascii="Times New Roman" w:hAnsi="Times New Roman" w:cs="Times New Roman"/>
          <w:spacing w:val="-6"/>
          <w:sz w:val="28"/>
          <w:szCs w:val="28"/>
        </w:rPr>
        <w:t>2</w:t>
      </w:r>
      <w:r w:rsidR="00763174" w:rsidRPr="00F53A15">
        <w:rPr>
          <w:rFonts w:ascii="Times New Roman" w:hAnsi="Times New Roman" w:cs="Times New Roman"/>
          <w:spacing w:val="-6"/>
          <w:sz w:val="28"/>
          <w:szCs w:val="28"/>
          <w:lang w:val="vi-VN"/>
        </w:rPr>
        <w:t xml:space="preserve">. </w:t>
      </w:r>
      <w:r w:rsidR="00763174" w:rsidRPr="00F53A15">
        <w:rPr>
          <w:rFonts w:ascii="Times New Roman" w:hAnsi="Times New Roman" w:cs="Times New Roman"/>
          <w:spacing w:val="-6"/>
          <w:sz w:val="28"/>
          <w:szCs w:val="28"/>
        </w:rPr>
        <w:t>Giao Ủ</w:t>
      </w:r>
      <w:r w:rsidR="00763174" w:rsidRPr="00F53A15">
        <w:rPr>
          <w:rFonts w:ascii="Times New Roman" w:hAnsi="Times New Roman" w:cs="Times New Roman"/>
          <w:spacing w:val="-6"/>
          <w:sz w:val="28"/>
          <w:szCs w:val="28"/>
          <w:lang w:val="vi-VN"/>
        </w:rPr>
        <w:t>y ban nhân dân tỉnh</w:t>
      </w:r>
      <w:r w:rsidR="00763174" w:rsidRPr="00F53A15">
        <w:rPr>
          <w:rFonts w:ascii="Times New Roman" w:hAnsi="Times New Roman" w:cs="Times New Roman"/>
          <w:spacing w:val="-6"/>
          <w:sz w:val="28"/>
          <w:szCs w:val="28"/>
        </w:rPr>
        <w:t xml:space="preserve"> </w:t>
      </w:r>
      <w:r w:rsidR="00763174" w:rsidRPr="00F53A15">
        <w:rPr>
          <w:rFonts w:ascii="Times New Roman" w:hAnsi="Times New Roman" w:cs="Times New Roman"/>
          <w:spacing w:val="-6"/>
          <w:sz w:val="28"/>
          <w:szCs w:val="28"/>
          <w:lang w:val="nl-NL"/>
        </w:rPr>
        <w:t>tổ chức thực hiện Nghị quyết này</w:t>
      </w:r>
      <w:r w:rsidR="00763174" w:rsidRPr="00F53A15">
        <w:rPr>
          <w:rFonts w:ascii="Times New Roman" w:hAnsi="Times New Roman" w:cs="Times New Roman"/>
          <w:spacing w:val="-6"/>
          <w:sz w:val="28"/>
          <w:szCs w:val="28"/>
          <w:lang w:val="vi-VN"/>
        </w:rPr>
        <w:t>.</w:t>
      </w:r>
    </w:p>
    <w:p w:rsidR="00763174" w:rsidRPr="00F53A15" w:rsidRDefault="007C2476" w:rsidP="00F53A15">
      <w:pPr>
        <w:spacing w:before="40"/>
        <w:ind w:firstLine="720"/>
        <w:jc w:val="both"/>
        <w:rPr>
          <w:rFonts w:ascii="Times New Roman" w:hAnsi="Times New Roman" w:cs="Times New Roman"/>
          <w:spacing w:val="-6"/>
          <w:sz w:val="28"/>
          <w:szCs w:val="28"/>
          <w:lang w:val="vi-VN"/>
        </w:rPr>
      </w:pPr>
      <w:r w:rsidRPr="00F53A15">
        <w:rPr>
          <w:rFonts w:ascii="Times New Roman" w:hAnsi="Times New Roman" w:cs="Times New Roman"/>
          <w:spacing w:val="-6"/>
          <w:sz w:val="28"/>
          <w:szCs w:val="28"/>
        </w:rPr>
        <w:t>3</w:t>
      </w:r>
      <w:r w:rsidR="00763174" w:rsidRPr="00F53A15">
        <w:rPr>
          <w:rFonts w:ascii="Times New Roman" w:hAnsi="Times New Roman" w:cs="Times New Roman"/>
          <w:spacing w:val="-6"/>
          <w:sz w:val="28"/>
          <w:szCs w:val="28"/>
          <w:lang w:val="vi-VN"/>
        </w:rPr>
        <w:t xml:space="preserve">. </w:t>
      </w:r>
      <w:r w:rsidR="00763174" w:rsidRPr="00F53A15">
        <w:rPr>
          <w:rFonts w:ascii="Times New Roman" w:hAnsi="Times New Roman" w:cs="Times New Roman"/>
          <w:spacing w:val="-6"/>
          <w:sz w:val="28"/>
          <w:szCs w:val="28"/>
        </w:rPr>
        <w:t>T</w:t>
      </w:r>
      <w:r w:rsidR="00763174" w:rsidRPr="00F53A15">
        <w:rPr>
          <w:rFonts w:ascii="Times New Roman" w:hAnsi="Times New Roman" w:cs="Times New Roman"/>
          <w:spacing w:val="-6"/>
          <w:sz w:val="28"/>
          <w:szCs w:val="28"/>
          <w:lang w:val="vi-VN"/>
        </w:rPr>
        <w:t>hường trực Hội đồng nhân dân</w:t>
      </w:r>
      <w:r w:rsidR="00763174" w:rsidRPr="00F53A15">
        <w:rPr>
          <w:rFonts w:ascii="Times New Roman" w:hAnsi="Times New Roman" w:cs="Times New Roman"/>
          <w:spacing w:val="-6"/>
          <w:sz w:val="28"/>
          <w:szCs w:val="28"/>
        </w:rPr>
        <w:t xml:space="preserve"> tỉnh</w:t>
      </w:r>
      <w:r w:rsidR="00763174" w:rsidRPr="00F53A15">
        <w:rPr>
          <w:rFonts w:ascii="Times New Roman" w:hAnsi="Times New Roman" w:cs="Times New Roman"/>
          <w:spacing w:val="-6"/>
          <w:sz w:val="28"/>
          <w:szCs w:val="28"/>
          <w:lang w:val="vi-VN"/>
        </w:rPr>
        <w:t>, các Ban của Hội đồng nhân dân</w:t>
      </w:r>
      <w:r w:rsidR="00763174" w:rsidRPr="00F53A15">
        <w:rPr>
          <w:rFonts w:ascii="Times New Roman" w:hAnsi="Times New Roman" w:cs="Times New Roman"/>
          <w:spacing w:val="-6"/>
          <w:sz w:val="28"/>
          <w:szCs w:val="28"/>
        </w:rPr>
        <w:t xml:space="preserve"> tỉnh</w:t>
      </w:r>
      <w:r w:rsidR="00763174" w:rsidRPr="00F53A15">
        <w:rPr>
          <w:rFonts w:ascii="Times New Roman" w:hAnsi="Times New Roman" w:cs="Times New Roman"/>
          <w:spacing w:val="-6"/>
          <w:sz w:val="28"/>
          <w:szCs w:val="28"/>
          <w:lang w:val="vi-VN"/>
        </w:rPr>
        <w:t xml:space="preserve"> và đại biểu Hội đồng nhân dân tỉnh giám sát việc th</w:t>
      </w:r>
      <w:r w:rsidR="00763174" w:rsidRPr="00F53A15">
        <w:rPr>
          <w:rFonts w:ascii="Times New Roman" w:hAnsi="Times New Roman" w:cs="Times New Roman"/>
          <w:spacing w:val="-6"/>
          <w:sz w:val="28"/>
          <w:szCs w:val="28"/>
        </w:rPr>
        <w:t>ực</w:t>
      </w:r>
      <w:r w:rsidR="00763174" w:rsidRPr="00F53A15">
        <w:rPr>
          <w:rFonts w:ascii="Times New Roman" w:hAnsi="Times New Roman" w:cs="Times New Roman"/>
          <w:spacing w:val="-6"/>
          <w:sz w:val="28"/>
          <w:szCs w:val="28"/>
          <w:lang w:val="vi-VN"/>
        </w:rPr>
        <w:t xml:space="preserve"> h</w:t>
      </w:r>
      <w:r w:rsidR="00763174" w:rsidRPr="00F53A15">
        <w:rPr>
          <w:rFonts w:ascii="Times New Roman" w:hAnsi="Times New Roman" w:cs="Times New Roman"/>
          <w:spacing w:val="-6"/>
          <w:sz w:val="28"/>
          <w:szCs w:val="28"/>
        </w:rPr>
        <w:t>iện</w:t>
      </w:r>
      <w:r w:rsidR="00763174" w:rsidRPr="00F53A15">
        <w:rPr>
          <w:rFonts w:ascii="Times New Roman" w:hAnsi="Times New Roman" w:cs="Times New Roman"/>
          <w:spacing w:val="-6"/>
          <w:sz w:val="28"/>
          <w:szCs w:val="28"/>
          <w:lang w:val="vi-VN"/>
        </w:rPr>
        <w:t xml:space="preserve"> Nghị quyết</w:t>
      </w:r>
      <w:r w:rsidR="00763174" w:rsidRPr="00F53A15">
        <w:rPr>
          <w:rFonts w:ascii="Times New Roman" w:hAnsi="Times New Roman" w:cs="Times New Roman"/>
          <w:spacing w:val="-6"/>
          <w:sz w:val="28"/>
          <w:szCs w:val="28"/>
        </w:rPr>
        <w:t xml:space="preserve"> này</w:t>
      </w:r>
      <w:r w:rsidR="00763174" w:rsidRPr="00F53A15">
        <w:rPr>
          <w:rFonts w:ascii="Times New Roman" w:hAnsi="Times New Roman" w:cs="Times New Roman"/>
          <w:spacing w:val="-6"/>
          <w:sz w:val="28"/>
          <w:szCs w:val="28"/>
          <w:lang w:val="vi-VN"/>
        </w:rPr>
        <w:t>.</w:t>
      </w:r>
    </w:p>
    <w:p w:rsidR="00A17CA6" w:rsidRDefault="00763174" w:rsidP="00F53A15">
      <w:pPr>
        <w:spacing w:before="40"/>
        <w:ind w:firstLine="720"/>
        <w:jc w:val="both"/>
        <w:rPr>
          <w:rFonts w:ascii="Times New Roman" w:hAnsi="Times New Roman" w:cs="Times New Roman"/>
          <w:i/>
          <w:sz w:val="28"/>
          <w:szCs w:val="28"/>
        </w:rPr>
      </w:pPr>
      <w:r w:rsidRPr="00F53A15">
        <w:rPr>
          <w:rFonts w:ascii="Times New Roman" w:hAnsi="Times New Roman" w:cs="Times New Roman"/>
          <w:i/>
          <w:spacing w:val="-6"/>
          <w:sz w:val="28"/>
          <w:szCs w:val="28"/>
          <w:lang w:val="vi-VN"/>
        </w:rPr>
        <w:t>Nghị quyết này đã được Hội đồng nhân dân</w:t>
      </w:r>
      <w:r w:rsidRPr="000179F9">
        <w:rPr>
          <w:rFonts w:ascii="Times New Roman" w:hAnsi="Times New Roman" w:cs="Times New Roman"/>
          <w:i/>
          <w:sz w:val="28"/>
          <w:szCs w:val="28"/>
          <w:lang w:val="vi-VN"/>
        </w:rPr>
        <w:t xml:space="preserve"> tỉnh Tuyên Quang khóa </w:t>
      </w:r>
      <w:r w:rsidRPr="000179F9">
        <w:rPr>
          <w:rFonts w:ascii="Times New Roman" w:hAnsi="Times New Roman" w:cs="Times New Roman"/>
          <w:bCs/>
          <w:i/>
          <w:sz w:val="28"/>
          <w:szCs w:val="28"/>
          <w:shd w:val="clear" w:color="auto" w:fill="FFFFFF"/>
        </w:rPr>
        <w:t>XIX</w:t>
      </w:r>
      <w:r w:rsidRPr="000179F9">
        <w:rPr>
          <w:rFonts w:ascii="Times New Roman" w:hAnsi="Times New Roman" w:cs="Times New Roman"/>
          <w:i/>
          <w:sz w:val="28"/>
          <w:szCs w:val="28"/>
        </w:rPr>
        <w:t>,</w:t>
      </w:r>
      <w:r w:rsidRPr="000179F9">
        <w:rPr>
          <w:rFonts w:ascii="Times New Roman" w:hAnsi="Times New Roman" w:cs="Times New Roman"/>
          <w:i/>
          <w:sz w:val="28"/>
          <w:szCs w:val="28"/>
          <w:lang w:val="vi-VN"/>
        </w:rPr>
        <w:t xml:space="preserve"> </w:t>
      </w:r>
      <w:r w:rsidRPr="000179F9">
        <w:rPr>
          <w:rFonts w:ascii="Times New Roman" w:hAnsi="Times New Roman" w:cs="Times New Roman"/>
          <w:i/>
          <w:sz w:val="28"/>
          <w:szCs w:val="28"/>
        </w:rPr>
        <w:t>K</w:t>
      </w:r>
      <w:r w:rsidRPr="000179F9">
        <w:rPr>
          <w:rFonts w:ascii="Times New Roman" w:hAnsi="Times New Roman" w:cs="Times New Roman"/>
          <w:i/>
          <w:sz w:val="28"/>
          <w:szCs w:val="28"/>
          <w:lang w:val="vi-VN"/>
        </w:rPr>
        <w:t xml:space="preserve">ỳ họp thứ </w:t>
      </w:r>
      <w:r w:rsidR="000D6932" w:rsidRPr="000179F9">
        <w:rPr>
          <w:rFonts w:ascii="Times New Roman" w:hAnsi="Times New Roman" w:cs="Times New Roman"/>
          <w:i/>
          <w:sz w:val="28"/>
          <w:szCs w:val="28"/>
        </w:rPr>
        <w:t>….</w:t>
      </w:r>
      <w:r w:rsidRPr="000179F9">
        <w:rPr>
          <w:rFonts w:ascii="Times New Roman" w:hAnsi="Times New Roman" w:cs="Times New Roman"/>
          <w:i/>
          <w:sz w:val="28"/>
          <w:szCs w:val="28"/>
          <w:lang w:val="vi-VN"/>
        </w:rPr>
        <w:t xml:space="preserve"> thông qua ngày </w:t>
      </w:r>
      <w:r w:rsidRPr="000179F9">
        <w:rPr>
          <w:rFonts w:ascii="Times New Roman" w:hAnsi="Times New Roman" w:cs="Times New Roman"/>
          <w:i/>
          <w:sz w:val="28"/>
          <w:szCs w:val="28"/>
        </w:rPr>
        <w:t>...</w:t>
      </w:r>
      <w:r w:rsidRPr="000179F9">
        <w:rPr>
          <w:rFonts w:ascii="Times New Roman" w:hAnsi="Times New Roman" w:cs="Times New Roman"/>
          <w:i/>
          <w:sz w:val="28"/>
          <w:szCs w:val="28"/>
          <w:lang w:val="vi-VN"/>
        </w:rPr>
        <w:t xml:space="preserve"> tháng </w:t>
      </w:r>
      <w:r w:rsidRPr="000179F9">
        <w:rPr>
          <w:rFonts w:ascii="Times New Roman" w:hAnsi="Times New Roman" w:cs="Times New Roman"/>
          <w:i/>
          <w:sz w:val="28"/>
          <w:szCs w:val="28"/>
        </w:rPr>
        <w:t>...</w:t>
      </w:r>
      <w:r w:rsidRPr="000179F9">
        <w:rPr>
          <w:rFonts w:ascii="Times New Roman" w:hAnsi="Times New Roman" w:cs="Times New Roman"/>
          <w:i/>
          <w:sz w:val="28"/>
          <w:szCs w:val="28"/>
          <w:lang w:val="vi-VN"/>
        </w:rPr>
        <w:t xml:space="preserve"> năm 2025</w:t>
      </w:r>
      <w:r w:rsidRPr="000179F9">
        <w:rPr>
          <w:rFonts w:ascii="Times New Roman" w:hAnsi="Times New Roman" w:cs="Times New Roman"/>
          <w:i/>
          <w:sz w:val="28"/>
          <w:szCs w:val="28"/>
        </w:rPr>
        <w:t>./.</w:t>
      </w:r>
    </w:p>
    <w:p w:rsidR="00F53A15" w:rsidRPr="000179F9" w:rsidRDefault="00F53A15" w:rsidP="00F53A15">
      <w:pPr>
        <w:spacing w:before="40"/>
        <w:ind w:firstLine="720"/>
        <w:jc w:val="both"/>
        <w:rPr>
          <w:rFonts w:ascii="Times New Roman" w:hAnsi="Times New Roman" w:cs="Times New Roman"/>
          <w:i/>
          <w:sz w:val="28"/>
          <w:szCs w:val="28"/>
        </w:rPr>
      </w:pPr>
    </w:p>
    <w:tbl>
      <w:tblPr>
        <w:tblW w:w="9100" w:type="dxa"/>
        <w:tblInd w:w="108" w:type="dxa"/>
        <w:tblLook w:val="01E0" w:firstRow="1" w:lastRow="1" w:firstColumn="1" w:lastColumn="1" w:noHBand="0" w:noVBand="0"/>
      </w:tblPr>
      <w:tblGrid>
        <w:gridCol w:w="5387"/>
        <w:gridCol w:w="101"/>
        <w:gridCol w:w="3612"/>
      </w:tblGrid>
      <w:tr w:rsidR="000179F9" w:rsidRPr="000179F9" w:rsidTr="005D6B0E">
        <w:tc>
          <w:tcPr>
            <w:tcW w:w="5488" w:type="dxa"/>
            <w:gridSpan w:val="2"/>
          </w:tcPr>
          <w:p w:rsidR="000913F3" w:rsidRPr="00F53A15" w:rsidRDefault="000913F3" w:rsidP="005D6B0E">
            <w:pPr>
              <w:spacing w:before="20" w:line="264" w:lineRule="auto"/>
              <w:jc w:val="both"/>
              <w:rPr>
                <w:rFonts w:ascii="Times New Roman" w:hAnsi="Times New Roman" w:cs="Times New Roman"/>
                <w:b/>
                <w:bCs/>
                <w:sz w:val="26"/>
                <w:szCs w:val="28"/>
                <w:lang w:val="vi-VN"/>
              </w:rPr>
            </w:pPr>
            <w:r w:rsidRPr="00F53A15">
              <w:rPr>
                <w:rFonts w:ascii="Times New Roman" w:hAnsi="Times New Roman" w:cs="Times New Roman"/>
                <w:b/>
                <w:bCs/>
                <w:i/>
                <w:iCs/>
                <w:sz w:val="26"/>
                <w:szCs w:val="28"/>
                <w:lang w:val="vi-VN"/>
              </w:rPr>
              <w:t>Nơi nhận:</w:t>
            </w:r>
            <w:r w:rsidRPr="00F53A15">
              <w:rPr>
                <w:rFonts w:ascii="Times New Roman" w:hAnsi="Times New Roman" w:cs="Times New Roman"/>
                <w:b/>
                <w:bCs/>
                <w:sz w:val="26"/>
                <w:szCs w:val="28"/>
                <w:lang w:val="vi-VN"/>
              </w:rPr>
              <w:t> </w:t>
            </w:r>
          </w:p>
          <w:p w:rsidR="007C2476" w:rsidRPr="00F53A15" w:rsidRDefault="000913F3" w:rsidP="000913F3">
            <w:pPr>
              <w:spacing w:line="300" w:lineRule="atLeast"/>
              <w:ind w:right="-567"/>
              <w:rPr>
                <w:rFonts w:ascii="Times New Roman" w:eastAsia="Times New Roman" w:hAnsi="Times New Roman" w:cs="Times New Roman"/>
                <w:spacing w:val="-10"/>
                <w:sz w:val="22"/>
                <w:szCs w:val="24"/>
                <w:lang w:val="pt-BR" w:eastAsia="en-GB"/>
              </w:rPr>
            </w:pPr>
            <w:r w:rsidRPr="00F53A15">
              <w:rPr>
                <w:rFonts w:ascii="Times New Roman" w:hAnsi="Times New Roman" w:cs="Times New Roman"/>
                <w:sz w:val="22"/>
                <w:szCs w:val="24"/>
                <w:lang w:val="pt-BR"/>
              </w:rPr>
              <w:t xml:space="preserve">- </w:t>
            </w:r>
            <w:r w:rsidRPr="00F53A15">
              <w:rPr>
                <w:rFonts w:ascii="Times New Roman" w:hAnsi="Times New Roman" w:cs="Times New Roman"/>
                <w:sz w:val="22"/>
                <w:szCs w:val="24"/>
                <w:lang w:val="vi-VN"/>
              </w:rPr>
              <w:t>Ủy ban Thường vụ Quốc hội</w:t>
            </w:r>
            <w:r w:rsidRPr="00F53A15">
              <w:rPr>
                <w:rFonts w:ascii="Times New Roman" w:hAnsi="Times New Roman" w:cs="Times New Roman"/>
                <w:sz w:val="22"/>
                <w:szCs w:val="24"/>
                <w:lang w:val="pt-BR"/>
              </w:rPr>
              <w:t>,</w:t>
            </w:r>
            <w:r w:rsidRPr="00F53A15">
              <w:rPr>
                <w:rFonts w:ascii="Times New Roman" w:hAnsi="Times New Roman" w:cs="Times New Roman"/>
                <w:sz w:val="22"/>
                <w:szCs w:val="24"/>
                <w:lang w:val="vi-VN"/>
              </w:rPr>
              <w:t xml:space="preserve"> Chính phủ (để </w:t>
            </w:r>
            <w:r w:rsidRPr="00F53A15">
              <w:rPr>
                <w:rFonts w:ascii="Times New Roman" w:hAnsi="Times New Roman" w:cs="Times New Roman"/>
                <w:sz w:val="22"/>
                <w:szCs w:val="24"/>
                <w:lang w:val="pt-BR"/>
              </w:rPr>
              <w:t>b/c)</w:t>
            </w:r>
            <w:r w:rsidRPr="00F53A15">
              <w:rPr>
                <w:rFonts w:ascii="Times New Roman" w:hAnsi="Times New Roman" w:cs="Times New Roman"/>
                <w:sz w:val="22"/>
                <w:szCs w:val="24"/>
                <w:lang w:val="vi-VN"/>
              </w:rPr>
              <w:t>;</w:t>
            </w:r>
            <w:r w:rsidRPr="00F53A15">
              <w:rPr>
                <w:rFonts w:ascii="Times New Roman" w:hAnsi="Times New Roman" w:cs="Times New Roman"/>
                <w:sz w:val="22"/>
                <w:szCs w:val="24"/>
                <w:lang w:val="vi-VN"/>
              </w:rPr>
              <w:br/>
            </w:r>
            <w:r w:rsidRPr="00F53A15">
              <w:rPr>
                <w:rFonts w:ascii="Times New Roman" w:hAnsi="Times New Roman" w:cs="Times New Roman"/>
                <w:spacing w:val="-10"/>
                <w:sz w:val="22"/>
                <w:szCs w:val="24"/>
                <w:lang w:val="vi-VN"/>
              </w:rPr>
              <w:t xml:space="preserve">- </w:t>
            </w:r>
            <w:r w:rsidRPr="00F53A15">
              <w:rPr>
                <w:rFonts w:ascii="Times New Roman" w:hAnsi="Times New Roman" w:cs="Times New Roman"/>
                <w:spacing w:val="-10"/>
                <w:sz w:val="22"/>
                <w:szCs w:val="24"/>
              </w:rPr>
              <w:t xml:space="preserve">Các Bộ: Tài chính, Nội vụ, </w:t>
            </w:r>
            <w:r w:rsidRPr="00F53A15">
              <w:rPr>
                <w:rFonts w:ascii="Times New Roman" w:eastAsia="Times New Roman" w:hAnsi="Times New Roman" w:cs="Times New Roman"/>
                <w:spacing w:val="-10"/>
                <w:sz w:val="22"/>
                <w:szCs w:val="24"/>
                <w:lang w:val="pt-BR" w:eastAsia="en-GB"/>
              </w:rPr>
              <w:t>Bộ Tư pháp</w:t>
            </w:r>
            <w:r w:rsidR="007C2476" w:rsidRPr="00F53A15">
              <w:rPr>
                <w:rFonts w:ascii="Times New Roman" w:eastAsia="Times New Roman" w:hAnsi="Times New Roman" w:cs="Times New Roman"/>
                <w:spacing w:val="-10"/>
                <w:sz w:val="22"/>
                <w:szCs w:val="24"/>
                <w:lang w:val="pt-BR" w:eastAsia="en-GB"/>
              </w:rPr>
              <w:t>;</w:t>
            </w:r>
          </w:p>
          <w:p w:rsidR="007C2476" w:rsidRPr="00F53A15" w:rsidRDefault="007C2476" w:rsidP="007C2476">
            <w:pPr>
              <w:rPr>
                <w:rFonts w:ascii="Times New Roman" w:hAnsi="Times New Roman" w:cs="Times New Roman"/>
                <w:sz w:val="22"/>
                <w:szCs w:val="24"/>
              </w:rPr>
            </w:pPr>
            <w:r w:rsidRPr="00F53A15">
              <w:rPr>
                <w:rFonts w:ascii="Times New Roman" w:hAnsi="Times New Roman" w:cs="Times New Roman"/>
                <w:sz w:val="22"/>
                <w:szCs w:val="24"/>
              </w:rPr>
              <w:t>- Cục Kiểm tra văn bản và quản lý cử lý vi phạm hành chính - Bộ Tư pháp;</w:t>
            </w:r>
          </w:p>
          <w:p w:rsidR="000913F3" w:rsidRPr="00F53A15" w:rsidRDefault="000913F3" w:rsidP="000913F3">
            <w:pPr>
              <w:spacing w:line="300" w:lineRule="atLeast"/>
              <w:rPr>
                <w:rFonts w:ascii="Times New Roman" w:eastAsia="Times New Roman" w:hAnsi="Times New Roman" w:cs="Times New Roman"/>
                <w:sz w:val="22"/>
                <w:szCs w:val="24"/>
                <w:lang w:val="pt-BR"/>
              </w:rPr>
            </w:pPr>
            <w:r w:rsidRPr="00F53A15">
              <w:rPr>
                <w:rFonts w:ascii="Times New Roman" w:eastAsia="Times New Roman" w:hAnsi="Times New Roman" w:cs="Times New Roman"/>
                <w:spacing w:val="-6"/>
                <w:sz w:val="22"/>
                <w:szCs w:val="24"/>
                <w:lang w:val="pt-BR"/>
              </w:rPr>
              <w:t>- TT.Tỉnh ủy, TT.HĐND tỉnh, UBND tỉnh, UBMTTQVN tỉnh;</w:t>
            </w:r>
            <w:r w:rsidRPr="00F53A15">
              <w:rPr>
                <w:rFonts w:ascii="Times New Roman" w:eastAsia="Times New Roman" w:hAnsi="Times New Roman" w:cs="Times New Roman"/>
                <w:sz w:val="22"/>
                <w:szCs w:val="24"/>
                <w:lang w:val="pt-BR"/>
              </w:rPr>
              <w:br/>
              <w:t xml:space="preserve">- Đoàn ĐBQH tỉnh; </w:t>
            </w:r>
          </w:p>
          <w:p w:rsidR="000913F3" w:rsidRPr="00F53A15" w:rsidRDefault="000913F3" w:rsidP="000913F3">
            <w:pPr>
              <w:spacing w:line="300" w:lineRule="atLeast"/>
              <w:rPr>
                <w:rFonts w:ascii="Times New Roman" w:eastAsia="Times New Roman" w:hAnsi="Times New Roman" w:cs="Times New Roman"/>
                <w:sz w:val="22"/>
                <w:szCs w:val="24"/>
                <w:lang w:val="pt-BR"/>
              </w:rPr>
            </w:pPr>
            <w:r w:rsidRPr="00F53A15">
              <w:rPr>
                <w:rFonts w:ascii="Times New Roman" w:eastAsia="Times New Roman" w:hAnsi="Times New Roman" w:cs="Times New Roman"/>
                <w:sz w:val="22"/>
                <w:szCs w:val="24"/>
                <w:lang w:val="pt-BR"/>
              </w:rPr>
              <w:t>- Các Ban, Tổ đại biểu, đại biểu HĐND tỉnh;</w:t>
            </w:r>
          </w:p>
          <w:p w:rsidR="000913F3" w:rsidRPr="00F53A15" w:rsidRDefault="000913F3" w:rsidP="000913F3">
            <w:pPr>
              <w:spacing w:line="300" w:lineRule="atLeast"/>
              <w:rPr>
                <w:rFonts w:ascii="Times New Roman" w:eastAsia="Times New Roman" w:hAnsi="Times New Roman" w:cs="Times New Roman"/>
                <w:sz w:val="22"/>
                <w:szCs w:val="24"/>
                <w:lang w:val="pt-BR"/>
              </w:rPr>
            </w:pPr>
            <w:r w:rsidRPr="00F53A15">
              <w:rPr>
                <w:rFonts w:ascii="Times New Roman" w:eastAsia="Times New Roman" w:hAnsi="Times New Roman" w:cs="Times New Roman"/>
                <w:sz w:val="22"/>
                <w:szCs w:val="24"/>
                <w:lang w:val="pt-BR"/>
              </w:rPr>
              <w:t>- Tòa án nhân dân tỉnh, Viện Kiểm sát ND tỉnh,</w:t>
            </w:r>
          </w:p>
          <w:p w:rsidR="000913F3" w:rsidRPr="00F53A15" w:rsidRDefault="000913F3" w:rsidP="000913F3">
            <w:pPr>
              <w:spacing w:line="300" w:lineRule="atLeast"/>
              <w:rPr>
                <w:rFonts w:ascii="Times New Roman" w:eastAsia="Times New Roman" w:hAnsi="Times New Roman" w:cs="Times New Roman"/>
                <w:sz w:val="22"/>
                <w:szCs w:val="24"/>
                <w:lang w:val="pt-BR"/>
              </w:rPr>
            </w:pPr>
            <w:r w:rsidRPr="00F53A15">
              <w:rPr>
                <w:rFonts w:ascii="Times New Roman" w:eastAsia="Times New Roman" w:hAnsi="Times New Roman" w:cs="Times New Roman"/>
                <w:sz w:val="22"/>
                <w:szCs w:val="24"/>
                <w:lang w:val="pt-BR"/>
              </w:rPr>
              <w:t>- Cục Thi hành án dân sự tỉnh;</w:t>
            </w:r>
            <w:r w:rsidRPr="00F53A15">
              <w:rPr>
                <w:rFonts w:ascii="Times New Roman" w:eastAsia="Times New Roman" w:hAnsi="Times New Roman" w:cs="Times New Roman"/>
                <w:sz w:val="22"/>
                <w:szCs w:val="24"/>
                <w:lang w:val="pt-BR"/>
              </w:rPr>
              <w:br/>
              <w:t>- Các sở, ban, ngành cấp tỉnh;</w:t>
            </w:r>
            <w:r w:rsidRPr="00F53A15">
              <w:rPr>
                <w:rFonts w:ascii="Times New Roman" w:hAnsi="Times New Roman" w:cs="Times New Roman"/>
                <w:sz w:val="22"/>
                <w:szCs w:val="24"/>
                <w:lang w:val="vi-VN"/>
              </w:rPr>
              <w:t xml:space="preserve"> </w:t>
            </w:r>
          </w:p>
          <w:p w:rsidR="000913F3" w:rsidRPr="00F53A15" w:rsidRDefault="000913F3" w:rsidP="000913F3">
            <w:pPr>
              <w:spacing w:before="20" w:line="264" w:lineRule="auto"/>
              <w:jc w:val="both"/>
              <w:rPr>
                <w:rFonts w:ascii="Times New Roman" w:hAnsi="Times New Roman" w:cs="Times New Roman"/>
                <w:sz w:val="22"/>
                <w:szCs w:val="24"/>
                <w:lang w:val="vi-VN"/>
              </w:rPr>
            </w:pPr>
            <w:r w:rsidRPr="00F53A15">
              <w:rPr>
                <w:rFonts w:ascii="Times New Roman" w:hAnsi="Times New Roman" w:cs="Times New Roman"/>
                <w:sz w:val="22"/>
                <w:szCs w:val="24"/>
                <w:lang w:val="vi-VN"/>
              </w:rPr>
              <w:t xml:space="preserve">- Báo và </w:t>
            </w:r>
            <w:r w:rsidR="007C2476" w:rsidRPr="00F53A15">
              <w:rPr>
                <w:rFonts w:ascii="Times New Roman" w:hAnsi="Times New Roman" w:cs="Times New Roman"/>
                <w:sz w:val="22"/>
                <w:szCs w:val="24"/>
              </w:rPr>
              <w:t xml:space="preserve">Đài </w:t>
            </w:r>
            <w:r w:rsidRPr="00F53A15">
              <w:rPr>
                <w:rFonts w:ascii="Times New Roman" w:hAnsi="Times New Roman" w:cs="Times New Roman"/>
                <w:sz w:val="22"/>
                <w:szCs w:val="24"/>
                <w:lang w:val="vi-VN"/>
              </w:rPr>
              <w:t xml:space="preserve">Phát thanh, </w:t>
            </w:r>
            <w:r w:rsidR="007C2476" w:rsidRPr="00F53A15">
              <w:rPr>
                <w:rFonts w:ascii="Times New Roman" w:hAnsi="Times New Roman" w:cs="Times New Roman"/>
                <w:sz w:val="22"/>
                <w:szCs w:val="24"/>
              </w:rPr>
              <w:t>t</w:t>
            </w:r>
            <w:r w:rsidRPr="00F53A15">
              <w:rPr>
                <w:rFonts w:ascii="Times New Roman" w:hAnsi="Times New Roman" w:cs="Times New Roman"/>
                <w:sz w:val="22"/>
                <w:szCs w:val="24"/>
                <w:lang w:val="vi-VN"/>
              </w:rPr>
              <w:t xml:space="preserve">ruyền hình </w:t>
            </w:r>
            <w:r w:rsidR="007C2476" w:rsidRPr="00F53A15">
              <w:rPr>
                <w:rFonts w:ascii="Times New Roman" w:hAnsi="Times New Roman" w:cs="Times New Roman"/>
                <w:sz w:val="22"/>
                <w:szCs w:val="24"/>
              </w:rPr>
              <w:t>tỉnh</w:t>
            </w:r>
            <w:r w:rsidRPr="00F53A15">
              <w:rPr>
                <w:rFonts w:ascii="Times New Roman" w:hAnsi="Times New Roman" w:cs="Times New Roman"/>
                <w:sz w:val="22"/>
                <w:szCs w:val="24"/>
                <w:lang w:val="vi-VN"/>
              </w:rPr>
              <w:t>;</w:t>
            </w:r>
          </w:p>
          <w:p w:rsidR="000913F3" w:rsidRPr="00F53A15" w:rsidRDefault="000913F3" w:rsidP="000913F3">
            <w:pPr>
              <w:spacing w:before="20" w:line="264" w:lineRule="auto"/>
              <w:jc w:val="both"/>
              <w:rPr>
                <w:rFonts w:ascii="Times New Roman" w:eastAsia="Times New Roman" w:hAnsi="Times New Roman" w:cs="Times New Roman"/>
                <w:sz w:val="22"/>
                <w:szCs w:val="24"/>
                <w:lang w:val="pt-BR"/>
              </w:rPr>
            </w:pPr>
            <w:r w:rsidRPr="00F53A15">
              <w:rPr>
                <w:rFonts w:ascii="Times New Roman" w:hAnsi="Times New Roman" w:cs="Times New Roman"/>
                <w:sz w:val="22"/>
                <w:szCs w:val="24"/>
              </w:rPr>
              <w:t xml:space="preserve">- </w:t>
            </w:r>
            <w:r w:rsidRPr="00F53A15">
              <w:rPr>
                <w:rFonts w:ascii="Times New Roman" w:eastAsia="Times New Roman" w:hAnsi="Times New Roman" w:cs="Times New Roman"/>
                <w:sz w:val="22"/>
                <w:szCs w:val="24"/>
                <w:lang w:val="pt-BR"/>
              </w:rPr>
              <w:t>HĐND, UBND,</w:t>
            </w:r>
            <w:r w:rsidRPr="00F53A15">
              <w:rPr>
                <w:rFonts w:ascii="Times New Roman" w:hAnsi="Times New Roman" w:cs="Times New Roman"/>
                <w:sz w:val="22"/>
                <w:szCs w:val="24"/>
                <w:lang w:val="vi-VN"/>
              </w:rPr>
              <w:t xml:space="preserve"> UBMTTQVN</w:t>
            </w:r>
            <w:r w:rsidRPr="00F53A15">
              <w:rPr>
                <w:rFonts w:ascii="Times New Roman" w:eastAsia="Times New Roman" w:hAnsi="Times New Roman" w:cs="Times New Roman"/>
                <w:sz w:val="22"/>
                <w:szCs w:val="24"/>
                <w:lang w:val="pt-BR"/>
              </w:rPr>
              <w:t xml:space="preserve"> các xã; phường;</w:t>
            </w:r>
          </w:p>
          <w:p w:rsidR="000913F3" w:rsidRPr="00F53A15" w:rsidRDefault="000913F3" w:rsidP="000913F3">
            <w:pPr>
              <w:spacing w:before="20" w:line="264" w:lineRule="auto"/>
              <w:jc w:val="both"/>
              <w:rPr>
                <w:rFonts w:ascii="Times New Roman" w:eastAsia="Times New Roman" w:hAnsi="Times New Roman" w:cs="Times New Roman"/>
                <w:sz w:val="22"/>
                <w:szCs w:val="24"/>
                <w:lang w:val="pt-BR"/>
              </w:rPr>
            </w:pPr>
            <w:r w:rsidRPr="00F53A15">
              <w:rPr>
                <w:rFonts w:ascii="Times New Roman" w:eastAsia="Times New Roman" w:hAnsi="Times New Roman" w:cs="Times New Roman"/>
                <w:sz w:val="22"/>
                <w:szCs w:val="24"/>
                <w:lang w:val="pt-BR"/>
              </w:rPr>
              <w:t xml:space="preserve">- Trung tâm </w:t>
            </w:r>
            <w:r w:rsidR="007C2476" w:rsidRPr="00F53A15">
              <w:rPr>
                <w:rFonts w:ascii="Times New Roman" w:eastAsia="Times New Roman" w:hAnsi="Times New Roman" w:cs="Times New Roman"/>
                <w:sz w:val="22"/>
                <w:szCs w:val="24"/>
                <w:lang w:val="pt-BR"/>
              </w:rPr>
              <w:t xml:space="preserve">thông tin- </w:t>
            </w:r>
            <w:r w:rsidRPr="00F53A15">
              <w:rPr>
                <w:rFonts w:ascii="Times New Roman" w:eastAsia="Times New Roman" w:hAnsi="Times New Roman" w:cs="Times New Roman"/>
                <w:sz w:val="22"/>
                <w:szCs w:val="24"/>
                <w:lang w:val="pt-BR"/>
              </w:rPr>
              <w:t>Công báo tỉnh;</w:t>
            </w:r>
          </w:p>
          <w:p w:rsidR="000913F3" w:rsidRPr="000179F9" w:rsidRDefault="000913F3" w:rsidP="005D6B0E">
            <w:pPr>
              <w:spacing w:before="20" w:line="264" w:lineRule="auto"/>
              <w:jc w:val="both"/>
              <w:rPr>
                <w:rFonts w:ascii="Times New Roman" w:hAnsi="Times New Roman" w:cs="Times New Roman"/>
                <w:sz w:val="28"/>
                <w:szCs w:val="28"/>
                <w:lang w:val="es-ES"/>
              </w:rPr>
            </w:pPr>
            <w:r w:rsidRPr="00F53A15">
              <w:rPr>
                <w:rFonts w:ascii="Times New Roman" w:hAnsi="Times New Roman" w:cs="Times New Roman"/>
                <w:sz w:val="22"/>
                <w:szCs w:val="24"/>
                <w:lang w:val="vi-VN"/>
              </w:rPr>
              <w:t>- Lưu: VT</w:t>
            </w:r>
            <w:r w:rsidRPr="00F53A15">
              <w:rPr>
                <w:rFonts w:ascii="Times New Roman" w:hAnsi="Times New Roman" w:cs="Times New Roman"/>
                <w:sz w:val="22"/>
                <w:szCs w:val="24"/>
              </w:rPr>
              <w:t>.</w:t>
            </w:r>
          </w:p>
        </w:tc>
        <w:tc>
          <w:tcPr>
            <w:tcW w:w="3612" w:type="dxa"/>
          </w:tcPr>
          <w:p w:rsidR="000913F3" w:rsidRPr="000179F9" w:rsidRDefault="000913F3" w:rsidP="005D6B0E">
            <w:pPr>
              <w:spacing w:before="60" w:line="264" w:lineRule="auto"/>
              <w:jc w:val="center"/>
              <w:rPr>
                <w:rFonts w:ascii="Times New Roman" w:hAnsi="Times New Roman" w:cs="Times New Roman"/>
                <w:b/>
                <w:bCs/>
                <w:iCs/>
                <w:sz w:val="28"/>
                <w:szCs w:val="28"/>
                <w:lang w:val="vi-VN"/>
              </w:rPr>
            </w:pPr>
            <w:r w:rsidRPr="000179F9">
              <w:rPr>
                <w:rFonts w:ascii="Times New Roman" w:hAnsi="Times New Roman" w:cs="Times New Roman"/>
                <w:b/>
                <w:bCs/>
                <w:iCs/>
                <w:sz w:val="28"/>
                <w:szCs w:val="28"/>
                <w:lang w:val="vi-VN"/>
              </w:rPr>
              <w:t>CHỦ TỊCH</w:t>
            </w:r>
          </w:p>
          <w:p w:rsidR="000913F3" w:rsidRPr="000179F9" w:rsidRDefault="000913F3" w:rsidP="005D6B0E">
            <w:pPr>
              <w:spacing w:before="60" w:line="264" w:lineRule="auto"/>
              <w:jc w:val="center"/>
              <w:rPr>
                <w:rFonts w:ascii="Times New Roman" w:hAnsi="Times New Roman" w:cs="Times New Roman"/>
                <w:b/>
                <w:bCs/>
                <w:iCs/>
                <w:sz w:val="28"/>
                <w:szCs w:val="28"/>
                <w:lang w:val="vi-VN"/>
              </w:rPr>
            </w:pPr>
          </w:p>
          <w:p w:rsidR="000913F3" w:rsidRPr="000179F9" w:rsidRDefault="000913F3" w:rsidP="005D6B0E">
            <w:pPr>
              <w:spacing w:before="60" w:line="264" w:lineRule="auto"/>
              <w:jc w:val="center"/>
              <w:rPr>
                <w:rFonts w:ascii="Times New Roman" w:hAnsi="Times New Roman" w:cs="Times New Roman"/>
                <w:b/>
                <w:bCs/>
                <w:iCs/>
                <w:sz w:val="28"/>
                <w:szCs w:val="28"/>
                <w:lang w:val="vi-VN"/>
              </w:rPr>
            </w:pPr>
          </w:p>
          <w:p w:rsidR="000913F3" w:rsidRPr="000179F9" w:rsidRDefault="000913F3" w:rsidP="005D6B0E">
            <w:pPr>
              <w:spacing w:before="60" w:line="264" w:lineRule="auto"/>
              <w:jc w:val="center"/>
              <w:rPr>
                <w:rFonts w:ascii="Times New Roman" w:hAnsi="Times New Roman" w:cs="Times New Roman"/>
                <w:b/>
                <w:bCs/>
                <w:iCs/>
                <w:sz w:val="28"/>
                <w:szCs w:val="28"/>
                <w:lang w:val="vi-VN"/>
              </w:rPr>
            </w:pPr>
          </w:p>
          <w:p w:rsidR="000913F3" w:rsidRPr="000179F9" w:rsidRDefault="000913F3" w:rsidP="005D6B0E">
            <w:pPr>
              <w:spacing w:before="60" w:line="264" w:lineRule="auto"/>
              <w:jc w:val="center"/>
              <w:rPr>
                <w:rFonts w:ascii="Times New Roman" w:hAnsi="Times New Roman" w:cs="Times New Roman"/>
                <w:b/>
                <w:bCs/>
                <w:iCs/>
                <w:sz w:val="28"/>
                <w:szCs w:val="28"/>
                <w:lang w:val="es-ES"/>
              </w:rPr>
            </w:pPr>
          </w:p>
          <w:p w:rsidR="000913F3" w:rsidRPr="000179F9" w:rsidRDefault="000913F3" w:rsidP="005D6B0E">
            <w:pPr>
              <w:spacing w:before="60" w:line="264" w:lineRule="auto"/>
              <w:jc w:val="center"/>
              <w:rPr>
                <w:rFonts w:ascii="Times New Roman" w:hAnsi="Times New Roman" w:cs="Times New Roman"/>
                <w:b/>
                <w:bCs/>
                <w:iCs/>
                <w:sz w:val="28"/>
                <w:szCs w:val="28"/>
                <w:lang w:val="es-ES"/>
              </w:rPr>
            </w:pPr>
          </w:p>
          <w:p w:rsidR="000913F3" w:rsidRPr="000179F9" w:rsidRDefault="000913F3" w:rsidP="005D6B0E">
            <w:pPr>
              <w:spacing w:before="60" w:line="264" w:lineRule="auto"/>
              <w:jc w:val="center"/>
              <w:rPr>
                <w:rFonts w:ascii="Times New Roman" w:hAnsi="Times New Roman" w:cs="Times New Roman"/>
                <w:b/>
                <w:bCs/>
                <w:iCs/>
                <w:sz w:val="28"/>
                <w:szCs w:val="28"/>
                <w:lang w:val="vi-VN"/>
              </w:rPr>
            </w:pPr>
            <w:r w:rsidRPr="000179F9">
              <w:rPr>
                <w:rFonts w:ascii="Times New Roman" w:hAnsi="Times New Roman" w:cs="Times New Roman"/>
                <w:b/>
                <w:bCs/>
                <w:iCs/>
                <w:sz w:val="28"/>
                <w:szCs w:val="28"/>
                <w:lang w:val="vi-VN"/>
              </w:rPr>
              <w:t>Nguyễn Văn Sơn</w:t>
            </w:r>
          </w:p>
          <w:p w:rsidR="000913F3" w:rsidRPr="000179F9" w:rsidRDefault="000913F3" w:rsidP="005D6B0E">
            <w:pPr>
              <w:spacing w:before="60" w:line="264" w:lineRule="auto"/>
              <w:jc w:val="center"/>
              <w:rPr>
                <w:rFonts w:ascii="Times New Roman" w:hAnsi="Times New Roman" w:cs="Times New Roman"/>
                <w:b/>
                <w:bCs/>
                <w:iCs/>
                <w:sz w:val="28"/>
                <w:szCs w:val="28"/>
                <w:lang w:val="es-ES"/>
              </w:rPr>
            </w:pPr>
          </w:p>
          <w:p w:rsidR="000913F3" w:rsidRPr="000179F9" w:rsidRDefault="000913F3" w:rsidP="005D6B0E">
            <w:pPr>
              <w:spacing w:before="60" w:line="264" w:lineRule="auto"/>
              <w:jc w:val="center"/>
              <w:rPr>
                <w:rFonts w:ascii="Times New Roman" w:hAnsi="Times New Roman" w:cs="Times New Roman"/>
                <w:b/>
                <w:bCs/>
                <w:iCs/>
                <w:sz w:val="28"/>
                <w:szCs w:val="28"/>
                <w:lang w:val="es-ES"/>
              </w:rPr>
            </w:pPr>
          </w:p>
          <w:p w:rsidR="000913F3" w:rsidRPr="000179F9" w:rsidRDefault="000913F3" w:rsidP="005D6B0E">
            <w:pPr>
              <w:spacing w:before="60" w:line="264" w:lineRule="auto"/>
              <w:jc w:val="center"/>
              <w:rPr>
                <w:rFonts w:ascii="Times New Roman" w:hAnsi="Times New Roman" w:cs="Times New Roman"/>
                <w:b/>
                <w:bCs/>
                <w:sz w:val="28"/>
                <w:szCs w:val="28"/>
                <w:lang w:val="es-ES"/>
              </w:rPr>
            </w:pPr>
          </w:p>
        </w:tc>
        <w:bookmarkStart w:id="1" w:name="_GoBack"/>
        <w:bookmarkEnd w:id="1"/>
      </w:tr>
      <w:tr w:rsidR="000913F3" w:rsidRPr="000179F9" w:rsidTr="005D6B0E">
        <w:tc>
          <w:tcPr>
            <w:tcW w:w="5387" w:type="dxa"/>
          </w:tcPr>
          <w:p w:rsidR="000913F3" w:rsidRPr="000179F9" w:rsidRDefault="000913F3" w:rsidP="005D6B0E">
            <w:pPr>
              <w:spacing w:before="60" w:line="264" w:lineRule="auto"/>
              <w:jc w:val="both"/>
              <w:rPr>
                <w:rFonts w:ascii="Times New Roman" w:hAnsi="Times New Roman" w:cs="Times New Roman"/>
                <w:sz w:val="28"/>
                <w:szCs w:val="28"/>
                <w:lang w:val="vi-VN"/>
              </w:rPr>
            </w:pPr>
          </w:p>
        </w:tc>
        <w:tc>
          <w:tcPr>
            <w:tcW w:w="3713" w:type="dxa"/>
            <w:gridSpan w:val="2"/>
          </w:tcPr>
          <w:p w:rsidR="000913F3" w:rsidRPr="000179F9" w:rsidRDefault="000913F3" w:rsidP="005D6B0E">
            <w:pPr>
              <w:spacing w:before="60" w:line="264" w:lineRule="auto"/>
              <w:jc w:val="both"/>
              <w:rPr>
                <w:rFonts w:ascii="Times New Roman" w:hAnsi="Times New Roman" w:cs="Times New Roman"/>
                <w:b/>
                <w:bCs/>
                <w:iCs/>
                <w:sz w:val="28"/>
                <w:szCs w:val="28"/>
                <w:lang w:val="vi-VN"/>
              </w:rPr>
            </w:pPr>
          </w:p>
          <w:p w:rsidR="000913F3" w:rsidRPr="000179F9" w:rsidRDefault="000913F3" w:rsidP="005D6B0E">
            <w:pPr>
              <w:spacing w:before="60" w:line="264" w:lineRule="auto"/>
              <w:jc w:val="both"/>
              <w:rPr>
                <w:rFonts w:ascii="Times New Roman" w:hAnsi="Times New Roman" w:cs="Times New Roman"/>
                <w:b/>
                <w:bCs/>
                <w:iCs/>
                <w:sz w:val="28"/>
                <w:szCs w:val="28"/>
                <w:lang w:val="vi-VN"/>
              </w:rPr>
            </w:pPr>
          </w:p>
          <w:p w:rsidR="000913F3" w:rsidRPr="000179F9" w:rsidRDefault="000913F3" w:rsidP="005D6B0E">
            <w:pPr>
              <w:spacing w:before="60" w:line="264" w:lineRule="auto"/>
              <w:jc w:val="both"/>
              <w:rPr>
                <w:rFonts w:ascii="Times New Roman" w:hAnsi="Times New Roman" w:cs="Times New Roman"/>
                <w:b/>
                <w:bCs/>
                <w:iCs/>
                <w:sz w:val="28"/>
                <w:szCs w:val="28"/>
                <w:lang w:val="vi-VN"/>
              </w:rPr>
            </w:pPr>
          </w:p>
          <w:p w:rsidR="000913F3" w:rsidRPr="000179F9" w:rsidRDefault="000913F3" w:rsidP="005D6B0E">
            <w:pPr>
              <w:spacing w:before="60" w:line="264" w:lineRule="auto"/>
              <w:jc w:val="both"/>
              <w:rPr>
                <w:rFonts w:ascii="Times New Roman" w:hAnsi="Times New Roman" w:cs="Times New Roman"/>
                <w:b/>
                <w:bCs/>
                <w:iCs/>
                <w:sz w:val="28"/>
                <w:szCs w:val="28"/>
                <w:lang w:val="vi-VN"/>
              </w:rPr>
            </w:pPr>
          </w:p>
          <w:p w:rsidR="000913F3" w:rsidRPr="000179F9" w:rsidRDefault="000913F3" w:rsidP="005D6B0E">
            <w:pPr>
              <w:spacing w:before="60" w:line="264" w:lineRule="auto"/>
              <w:jc w:val="both"/>
              <w:rPr>
                <w:rFonts w:ascii="Times New Roman" w:hAnsi="Times New Roman" w:cs="Times New Roman"/>
                <w:b/>
                <w:bCs/>
                <w:iCs/>
                <w:sz w:val="28"/>
                <w:szCs w:val="28"/>
                <w:lang w:val="vi-VN"/>
              </w:rPr>
            </w:pPr>
          </w:p>
          <w:p w:rsidR="000913F3" w:rsidRPr="000179F9" w:rsidRDefault="000913F3" w:rsidP="005D6B0E">
            <w:pPr>
              <w:spacing w:before="60" w:line="264" w:lineRule="auto"/>
              <w:jc w:val="both"/>
              <w:rPr>
                <w:rFonts w:ascii="Times New Roman" w:hAnsi="Times New Roman" w:cs="Times New Roman"/>
                <w:b/>
                <w:bCs/>
                <w:sz w:val="28"/>
                <w:szCs w:val="28"/>
                <w:lang w:val="vi-VN"/>
              </w:rPr>
            </w:pPr>
          </w:p>
        </w:tc>
      </w:tr>
    </w:tbl>
    <w:p w:rsidR="000913F3" w:rsidRPr="000179F9" w:rsidRDefault="000913F3" w:rsidP="0070058F">
      <w:pPr>
        <w:shd w:val="clear" w:color="auto" w:fill="FFFFFF"/>
        <w:spacing w:before="120" w:after="120" w:line="340" w:lineRule="exact"/>
        <w:ind w:firstLine="720"/>
        <w:jc w:val="both"/>
        <w:rPr>
          <w:rFonts w:ascii="Times New Roman" w:eastAsia="Times New Roman" w:hAnsi="Times New Roman" w:cs="Times New Roman"/>
          <w:sz w:val="28"/>
          <w:szCs w:val="28"/>
        </w:rPr>
      </w:pPr>
    </w:p>
    <w:p w:rsidR="00E07346" w:rsidRPr="000179F9" w:rsidRDefault="00E16E04">
      <w:pPr>
        <w:rPr>
          <w:rFonts w:ascii="Times New Roman" w:eastAsia="Times New Roman" w:hAnsi="Times New Roman" w:cs="Times New Roman"/>
          <w:sz w:val="28"/>
          <w:szCs w:val="28"/>
        </w:rPr>
      </w:pPr>
      <w:r w:rsidRPr="000179F9">
        <w:rPr>
          <w:rFonts w:ascii="Times New Roman" w:hAnsi="Times New Roman" w:cs="Times New Roman"/>
          <w:sz w:val="16"/>
          <w:szCs w:val="16"/>
          <w:shd w:val="clear" w:color="auto" w:fill="FFFFFF"/>
        </w:rPr>
        <w:t> </w:t>
      </w:r>
    </w:p>
    <w:sectPr w:rsidR="00E07346" w:rsidRPr="000179F9" w:rsidSect="00F53A15">
      <w:headerReference w:type="default" r:id="rId11"/>
      <w:headerReference w:type="first" r:id="rId12"/>
      <w:pgSz w:w="11907" w:h="16840"/>
      <w:pgMar w:top="1134" w:right="1134" w:bottom="567" w:left="1701" w:header="454" w:footer="96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128" w:rsidRDefault="00A81128">
      <w:r>
        <w:separator/>
      </w:r>
    </w:p>
  </w:endnote>
  <w:endnote w:type="continuationSeparator" w:id="0">
    <w:p w:rsidR="00A81128" w:rsidRDefault="00A8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128" w:rsidRDefault="00A81128">
      <w:r>
        <w:separator/>
      </w:r>
    </w:p>
  </w:footnote>
  <w:footnote w:type="continuationSeparator" w:id="0">
    <w:p w:rsidR="00A81128" w:rsidRDefault="00A81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321201"/>
    </w:sdtPr>
    <w:sdtEndPr>
      <w:rPr>
        <w:rFonts w:ascii="Times New Roman" w:hAnsi="Times New Roman" w:cs="Times New Roman"/>
        <w:sz w:val="25"/>
        <w:szCs w:val="25"/>
      </w:rPr>
    </w:sdtEndPr>
    <w:sdtContent>
      <w:p w:rsidR="00E07346" w:rsidRDefault="0061640C">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F53A15">
          <w:rPr>
            <w:rFonts w:ascii="Times New Roman" w:hAnsi="Times New Roman" w:cs="Times New Roman"/>
            <w:noProof/>
            <w:sz w:val="25"/>
            <w:szCs w:val="25"/>
          </w:rPr>
          <w:t>2</w:t>
        </w:r>
        <w:r>
          <w:rPr>
            <w:rFonts w:ascii="Times New Roman" w:hAnsi="Times New Roman" w:cs="Times New Roman"/>
            <w:sz w:val="25"/>
            <w:szCs w:val="25"/>
          </w:rPr>
          <w:fldChar w:fldCharType="end"/>
        </w:r>
      </w:p>
    </w:sdtContent>
  </w:sdt>
  <w:p w:rsidR="00E07346" w:rsidRDefault="00E07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346" w:rsidRDefault="00E07346">
    <w:pPr>
      <w:pStyle w:val="Header"/>
      <w:jc w:val="center"/>
    </w:pPr>
  </w:p>
  <w:p w:rsidR="00E07346" w:rsidRDefault="00E07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F0306"/>
    <w:multiLevelType w:val="hybridMultilevel"/>
    <w:tmpl w:val="FC06FBE4"/>
    <w:lvl w:ilvl="0" w:tplc="BED6A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59"/>
    <w:rsid w:val="00003E30"/>
    <w:rsid w:val="0000599B"/>
    <w:rsid w:val="00005DD9"/>
    <w:rsid w:val="00011304"/>
    <w:rsid w:val="000179F9"/>
    <w:rsid w:val="000208E8"/>
    <w:rsid w:val="00025D05"/>
    <w:rsid w:val="0002767B"/>
    <w:rsid w:val="00033475"/>
    <w:rsid w:val="000339B3"/>
    <w:rsid w:val="00033BB8"/>
    <w:rsid w:val="00036796"/>
    <w:rsid w:val="00040DC8"/>
    <w:rsid w:val="000424C9"/>
    <w:rsid w:val="000460C8"/>
    <w:rsid w:val="00050D24"/>
    <w:rsid w:val="00054B78"/>
    <w:rsid w:val="000600BE"/>
    <w:rsid w:val="000666F5"/>
    <w:rsid w:val="00072FE5"/>
    <w:rsid w:val="000807AF"/>
    <w:rsid w:val="000825B4"/>
    <w:rsid w:val="0008524C"/>
    <w:rsid w:val="000857BA"/>
    <w:rsid w:val="000913F3"/>
    <w:rsid w:val="000C312C"/>
    <w:rsid w:val="000C4734"/>
    <w:rsid w:val="000C6160"/>
    <w:rsid w:val="000D3741"/>
    <w:rsid w:val="000D6932"/>
    <w:rsid w:val="000E0EF2"/>
    <w:rsid w:val="000E1475"/>
    <w:rsid w:val="000E2235"/>
    <w:rsid w:val="000F25B4"/>
    <w:rsid w:val="000F2827"/>
    <w:rsid w:val="000F7BB8"/>
    <w:rsid w:val="001050FB"/>
    <w:rsid w:val="0011416F"/>
    <w:rsid w:val="00115F7A"/>
    <w:rsid w:val="00125760"/>
    <w:rsid w:val="00135442"/>
    <w:rsid w:val="00151819"/>
    <w:rsid w:val="00154021"/>
    <w:rsid w:val="00164BE6"/>
    <w:rsid w:val="001653C6"/>
    <w:rsid w:val="00173A9C"/>
    <w:rsid w:val="00176C90"/>
    <w:rsid w:val="00190124"/>
    <w:rsid w:val="00194662"/>
    <w:rsid w:val="00196976"/>
    <w:rsid w:val="001A1CAC"/>
    <w:rsid w:val="001B1CEE"/>
    <w:rsid w:val="001B288E"/>
    <w:rsid w:val="001B7222"/>
    <w:rsid w:val="001C049D"/>
    <w:rsid w:val="001C0668"/>
    <w:rsid w:val="001C61B9"/>
    <w:rsid w:val="001D01C1"/>
    <w:rsid w:val="001F214F"/>
    <w:rsid w:val="001F3A33"/>
    <w:rsid w:val="001F46CA"/>
    <w:rsid w:val="00223AB9"/>
    <w:rsid w:val="002249A5"/>
    <w:rsid w:val="0022758A"/>
    <w:rsid w:val="002275F0"/>
    <w:rsid w:val="00227BAC"/>
    <w:rsid w:val="00230E6F"/>
    <w:rsid w:val="00233C8F"/>
    <w:rsid w:val="002367A6"/>
    <w:rsid w:val="00237A7F"/>
    <w:rsid w:val="00262865"/>
    <w:rsid w:val="00263B60"/>
    <w:rsid w:val="00285637"/>
    <w:rsid w:val="00287167"/>
    <w:rsid w:val="002B03CA"/>
    <w:rsid w:val="002B34DA"/>
    <w:rsid w:val="002C02FF"/>
    <w:rsid w:val="002C2D1F"/>
    <w:rsid w:val="002C43C2"/>
    <w:rsid w:val="002D79F3"/>
    <w:rsid w:val="002E2419"/>
    <w:rsid w:val="00310F18"/>
    <w:rsid w:val="003117E3"/>
    <w:rsid w:val="00323DD6"/>
    <w:rsid w:val="0035632C"/>
    <w:rsid w:val="00357157"/>
    <w:rsid w:val="00360885"/>
    <w:rsid w:val="00360977"/>
    <w:rsid w:val="003654D3"/>
    <w:rsid w:val="00370BC0"/>
    <w:rsid w:val="00370DA4"/>
    <w:rsid w:val="003718BE"/>
    <w:rsid w:val="00375683"/>
    <w:rsid w:val="003771B8"/>
    <w:rsid w:val="00380AA4"/>
    <w:rsid w:val="0038345A"/>
    <w:rsid w:val="00383E45"/>
    <w:rsid w:val="003A3A04"/>
    <w:rsid w:val="003D1F31"/>
    <w:rsid w:val="003D683B"/>
    <w:rsid w:val="003D68CF"/>
    <w:rsid w:val="003E178B"/>
    <w:rsid w:val="003E21E8"/>
    <w:rsid w:val="003E322F"/>
    <w:rsid w:val="003F0218"/>
    <w:rsid w:val="003F0924"/>
    <w:rsid w:val="003F301E"/>
    <w:rsid w:val="00403FB5"/>
    <w:rsid w:val="00410A12"/>
    <w:rsid w:val="004143DF"/>
    <w:rsid w:val="0041552E"/>
    <w:rsid w:val="00425E3C"/>
    <w:rsid w:val="00447451"/>
    <w:rsid w:val="00447637"/>
    <w:rsid w:val="0045697A"/>
    <w:rsid w:val="00457DB2"/>
    <w:rsid w:val="004657C3"/>
    <w:rsid w:val="00477E4D"/>
    <w:rsid w:val="004861AE"/>
    <w:rsid w:val="0048778C"/>
    <w:rsid w:val="00490ED6"/>
    <w:rsid w:val="004955FA"/>
    <w:rsid w:val="004B34C9"/>
    <w:rsid w:val="004B41E2"/>
    <w:rsid w:val="004C7D5B"/>
    <w:rsid w:val="004D174C"/>
    <w:rsid w:val="004E6FF0"/>
    <w:rsid w:val="004F050A"/>
    <w:rsid w:val="00500152"/>
    <w:rsid w:val="00504E08"/>
    <w:rsid w:val="00506D4F"/>
    <w:rsid w:val="005079AD"/>
    <w:rsid w:val="00517A35"/>
    <w:rsid w:val="00517F36"/>
    <w:rsid w:val="00524341"/>
    <w:rsid w:val="00541D16"/>
    <w:rsid w:val="00543D0B"/>
    <w:rsid w:val="00544EDC"/>
    <w:rsid w:val="00547055"/>
    <w:rsid w:val="005575C1"/>
    <w:rsid w:val="00560732"/>
    <w:rsid w:val="00567A48"/>
    <w:rsid w:val="00584AE1"/>
    <w:rsid w:val="005A10ED"/>
    <w:rsid w:val="005A26AA"/>
    <w:rsid w:val="005B06E9"/>
    <w:rsid w:val="005B2BE4"/>
    <w:rsid w:val="005C0E7F"/>
    <w:rsid w:val="005C4E9A"/>
    <w:rsid w:val="005D1DEE"/>
    <w:rsid w:val="006007E3"/>
    <w:rsid w:val="00605402"/>
    <w:rsid w:val="0061640C"/>
    <w:rsid w:val="00625162"/>
    <w:rsid w:val="00630550"/>
    <w:rsid w:val="00642C36"/>
    <w:rsid w:val="00647A58"/>
    <w:rsid w:val="00654AAD"/>
    <w:rsid w:val="00654D3B"/>
    <w:rsid w:val="00661BAA"/>
    <w:rsid w:val="006648B2"/>
    <w:rsid w:val="00665D95"/>
    <w:rsid w:val="006735A1"/>
    <w:rsid w:val="00677457"/>
    <w:rsid w:val="00685312"/>
    <w:rsid w:val="006876FD"/>
    <w:rsid w:val="00694B2E"/>
    <w:rsid w:val="006A1A42"/>
    <w:rsid w:val="006A40F4"/>
    <w:rsid w:val="006A7AFF"/>
    <w:rsid w:val="006B167B"/>
    <w:rsid w:val="006C1C0E"/>
    <w:rsid w:val="006C551A"/>
    <w:rsid w:val="006D63C2"/>
    <w:rsid w:val="006F527A"/>
    <w:rsid w:val="0070058F"/>
    <w:rsid w:val="00703D5F"/>
    <w:rsid w:val="007212B9"/>
    <w:rsid w:val="00722B9D"/>
    <w:rsid w:val="00746706"/>
    <w:rsid w:val="00747B0F"/>
    <w:rsid w:val="00760AFC"/>
    <w:rsid w:val="00760CF3"/>
    <w:rsid w:val="00763174"/>
    <w:rsid w:val="00771119"/>
    <w:rsid w:val="00773D64"/>
    <w:rsid w:val="007767A6"/>
    <w:rsid w:val="00783031"/>
    <w:rsid w:val="00793E17"/>
    <w:rsid w:val="007944FE"/>
    <w:rsid w:val="007A3D5B"/>
    <w:rsid w:val="007A40BC"/>
    <w:rsid w:val="007A4CCF"/>
    <w:rsid w:val="007A51D9"/>
    <w:rsid w:val="007A533E"/>
    <w:rsid w:val="007B33BE"/>
    <w:rsid w:val="007B5B9A"/>
    <w:rsid w:val="007B6A06"/>
    <w:rsid w:val="007B72CE"/>
    <w:rsid w:val="007C2476"/>
    <w:rsid w:val="007C78DD"/>
    <w:rsid w:val="007E2110"/>
    <w:rsid w:val="007E3BF9"/>
    <w:rsid w:val="007E714C"/>
    <w:rsid w:val="007F049B"/>
    <w:rsid w:val="007F3277"/>
    <w:rsid w:val="00815264"/>
    <w:rsid w:val="00820E68"/>
    <w:rsid w:val="00821955"/>
    <w:rsid w:val="008262D5"/>
    <w:rsid w:val="00832C10"/>
    <w:rsid w:val="00836F24"/>
    <w:rsid w:val="0084063C"/>
    <w:rsid w:val="00840E6C"/>
    <w:rsid w:val="00841265"/>
    <w:rsid w:val="00845C84"/>
    <w:rsid w:val="008461BC"/>
    <w:rsid w:val="008647E7"/>
    <w:rsid w:val="00864F68"/>
    <w:rsid w:val="008771AC"/>
    <w:rsid w:val="00886407"/>
    <w:rsid w:val="00894D98"/>
    <w:rsid w:val="008A3227"/>
    <w:rsid w:val="008A742B"/>
    <w:rsid w:val="008A7B1A"/>
    <w:rsid w:val="008B0122"/>
    <w:rsid w:val="008B7FED"/>
    <w:rsid w:val="008C2D3C"/>
    <w:rsid w:val="008C7663"/>
    <w:rsid w:val="008D1AD3"/>
    <w:rsid w:val="008E00C6"/>
    <w:rsid w:val="008E4C89"/>
    <w:rsid w:val="008F01A1"/>
    <w:rsid w:val="008F5058"/>
    <w:rsid w:val="008F5C8A"/>
    <w:rsid w:val="009107E9"/>
    <w:rsid w:val="00914D33"/>
    <w:rsid w:val="009250FB"/>
    <w:rsid w:val="0093341B"/>
    <w:rsid w:val="009416C6"/>
    <w:rsid w:val="00942F78"/>
    <w:rsid w:val="009457F4"/>
    <w:rsid w:val="009551D0"/>
    <w:rsid w:val="00955E87"/>
    <w:rsid w:val="009624ED"/>
    <w:rsid w:val="00963FF3"/>
    <w:rsid w:val="00965159"/>
    <w:rsid w:val="009677C3"/>
    <w:rsid w:val="0097169F"/>
    <w:rsid w:val="0097185B"/>
    <w:rsid w:val="00971A9E"/>
    <w:rsid w:val="009754EB"/>
    <w:rsid w:val="00981968"/>
    <w:rsid w:val="00985D4A"/>
    <w:rsid w:val="009B0DCC"/>
    <w:rsid w:val="009C2C17"/>
    <w:rsid w:val="009D7373"/>
    <w:rsid w:val="009F10FB"/>
    <w:rsid w:val="009F423D"/>
    <w:rsid w:val="009F66B2"/>
    <w:rsid w:val="00A0624F"/>
    <w:rsid w:val="00A15232"/>
    <w:rsid w:val="00A16DFD"/>
    <w:rsid w:val="00A17CA6"/>
    <w:rsid w:val="00A21394"/>
    <w:rsid w:val="00A24B72"/>
    <w:rsid w:val="00A32DA1"/>
    <w:rsid w:val="00A5092A"/>
    <w:rsid w:val="00A5578D"/>
    <w:rsid w:val="00A5618D"/>
    <w:rsid w:val="00A6148C"/>
    <w:rsid w:val="00A61F5B"/>
    <w:rsid w:val="00A67734"/>
    <w:rsid w:val="00A71EB3"/>
    <w:rsid w:val="00A75486"/>
    <w:rsid w:val="00A81128"/>
    <w:rsid w:val="00AA183B"/>
    <w:rsid w:val="00AC0EAC"/>
    <w:rsid w:val="00AC4183"/>
    <w:rsid w:val="00AD18B3"/>
    <w:rsid w:val="00AD6AE5"/>
    <w:rsid w:val="00AE1279"/>
    <w:rsid w:val="00AE4716"/>
    <w:rsid w:val="00AE646D"/>
    <w:rsid w:val="00B05C36"/>
    <w:rsid w:val="00B27BA7"/>
    <w:rsid w:val="00B30696"/>
    <w:rsid w:val="00B43FB2"/>
    <w:rsid w:val="00B5491D"/>
    <w:rsid w:val="00B7682A"/>
    <w:rsid w:val="00B805FD"/>
    <w:rsid w:val="00B80FE8"/>
    <w:rsid w:val="00B81D97"/>
    <w:rsid w:val="00B8444B"/>
    <w:rsid w:val="00B85E2F"/>
    <w:rsid w:val="00B96F09"/>
    <w:rsid w:val="00BA2DDB"/>
    <w:rsid w:val="00BA6441"/>
    <w:rsid w:val="00BB085D"/>
    <w:rsid w:val="00BC0D8B"/>
    <w:rsid w:val="00BC657E"/>
    <w:rsid w:val="00BD0322"/>
    <w:rsid w:val="00BD0952"/>
    <w:rsid w:val="00BD4206"/>
    <w:rsid w:val="00BF5342"/>
    <w:rsid w:val="00BF7427"/>
    <w:rsid w:val="00C06CC6"/>
    <w:rsid w:val="00C07219"/>
    <w:rsid w:val="00C07B1A"/>
    <w:rsid w:val="00C10F9B"/>
    <w:rsid w:val="00C1273E"/>
    <w:rsid w:val="00C3018F"/>
    <w:rsid w:val="00C36455"/>
    <w:rsid w:val="00C45406"/>
    <w:rsid w:val="00C45B75"/>
    <w:rsid w:val="00C5569E"/>
    <w:rsid w:val="00C66F59"/>
    <w:rsid w:val="00C67565"/>
    <w:rsid w:val="00C81083"/>
    <w:rsid w:val="00C8493E"/>
    <w:rsid w:val="00C854EB"/>
    <w:rsid w:val="00C87212"/>
    <w:rsid w:val="00C92F8F"/>
    <w:rsid w:val="00CA1D11"/>
    <w:rsid w:val="00CA2DF4"/>
    <w:rsid w:val="00CB3426"/>
    <w:rsid w:val="00CE044D"/>
    <w:rsid w:val="00CE156D"/>
    <w:rsid w:val="00CF7719"/>
    <w:rsid w:val="00D13AC4"/>
    <w:rsid w:val="00D2159E"/>
    <w:rsid w:val="00D23F1A"/>
    <w:rsid w:val="00D42C88"/>
    <w:rsid w:val="00D4332E"/>
    <w:rsid w:val="00D4727B"/>
    <w:rsid w:val="00D602FE"/>
    <w:rsid w:val="00D72266"/>
    <w:rsid w:val="00D73A4E"/>
    <w:rsid w:val="00D75657"/>
    <w:rsid w:val="00D777E6"/>
    <w:rsid w:val="00D800AA"/>
    <w:rsid w:val="00D804C3"/>
    <w:rsid w:val="00D83E93"/>
    <w:rsid w:val="00D96E07"/>
    <w:rsid w:val="00DA28BB"/>
    <w:rsid w:val="00DB1529"/>
    <w:rsid w:val="00DB3F8B"/>
    <w:rsid w:val="00DC0B88"/>
    <w:rsid w:val="00DC49CD"/>
    <w:rsid w:val="00DC6E80"/>
    <w:rsid w:val="00DC6F3A"/>
    <w:rsid w:val="00DC72B8"/>
    <w:rsid w:val="00DD67C1"/>
    <w:rsid w:val="00DE1E41"/>
    <w:rsid w:val="00DF5EDC"/>
    <w:rsid w:val="00E07346"/>
    <w:rsid w:val="00E16E04"/>
    <w:rsid w:val="00E36CB0"/>
    <w:rsid w:val="00E44D31"/>
    <w:rsid w:val="00E46135"/>
    <w:rsid w:val="00E50654"/>
    <w:rsid w:val="00E55741"/>
    <w:rsid w:val="00E62E7E"/>
    <w:rsid w:val="00E64A60"/>
    <w:rsid w:val="00E72929"/>
    <w:rsid w:val="00E82D26"/>
    <w:rsid w:val="00E86B0F"/>
    <w:rsid w:val="00E93E8A"/>
    <w:rsid w:val="00E979DF"/>
    <w:rsid w:val="00EA2E07"/>
    <w:rsid w:val="00EB227F"/>
    <w:rsid w:val="00EB4B72"/>
    <w:rsid w:val="00ED48C6"/>
    <w:rsid w:val="00EF4B09"/>
    <w:rsid w:val="00EF4F2C"/>
    <w:rsid w:val="00EF537A"/>
    <w:rsid w:val="00F136CA"/>
    <w:rsid w:val="00F16190"/>
    <w:rsid w:val="00F30E7B"/>
    <w:rsid w:val="00F43E5B"/>
    <w:rsid w:val="00F53A15"/>
    <w:rsid w:val="00F630FB"/>
    <w:rsid w:val="00F72402"/>
    <w:rsid w:val="00F84266"/>
    <w:rsid w:val="00F84381"/>
    <w:rsid w:val="00F847E4"/>
    <w:rsid w:val="00F94EC3"/>
    <w:rsid w:val="00F97AEE"/>
    <w:rsid w:val="00F97CB5"/>
    <w:rsid w:val="00FA44E8"/>
    <w:rsid w:val="00FA7ACD"/>
    <w:rsid w:val="00FB2438"/>
    <w:rsid w:val="00FC14E9"/>
    <w:rsid w:val="00FC419A"/>
    <w:rsid w:val="00FC7AF9"/>
    <w:rsid w:val="00FD3FD0"/>
    <w:rsid w:val="00FE23FF"/>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763174"/>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763174"/>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thuvienphapluat.vn/phap-luat/tim-van-ban.aspx?keyword=3817/TTr-UBND&amp;area=2&amp;type=0&amp;match=False&amp;vc=True&amp;org=78&amp;lan=1"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0DD34-89B5-46FB-BDE3-D1E46324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HP</cp:lastModifiedBy>
  <cp:revision>55</cp:revision>
  <cp:lastPrinted>2025-11-27T01:48:00Z</cp:lastPrinted>
  <dcterms:created xsi:type="dcterms:W3CDTF">2025-09-23T13:14:00Z</dcterms:created>
  <dcterms:modified xsi:type="dcterms:W3CDTF">2025-12-13T03:15:00Z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