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6" w:type="dxa"/>
        <w:tblInd w:w="-27" w:type="dxa"/>
        <w:tblLayout w:type="fixed"/>
        <w:tblCellMar>
          <w:left w:w="115" w:type="dxa"/>
          <w:right w:w="115" w:type="dxa"/>
        </w:tblCellMar>
        <w:tblLook w:val="0000" w:firstRow="0" w:lastRow="0" w:firstColumn="0" w:lastColumn="0" w:noHBand="0" w:noVBand="0"/>
      </w:tblPr>
      <w:tblGrid>
        <w:gridCol w:w="4138"/>
        <w:gridCol w:w="5378"/>
      </w:tblGrid>
      <w:tr w:rsidR="00D85F22" w:rsidRPr="003D5FA9" w14:paraId="31F29890" w14:textId="77777777" w:rsidTr="00BE1A88">
        <w:trPr>
          <w:cantSplit/>
          <w:trHeight w:val="720"/>
        </w:trPr>
        <w:tc>
          <w:tcPr>
            <w:tcW w:w="4138" w:type="dxa"/>
          </w:tcPr>
          <w:p w14:paraId="137C1024" w14:textId="77777777" w:rsidR="00D85F22" w:rsidRPr="003D5FA9" w:rsidRDefault="00D85F22" w:rsidP="00D85F22">
            <w:pPr>
              <w:spacing w:after="0" w:line="240" w:lineRule="auto"/>
              <w:jc w:val="both"/>
              <w:rPr>
                <w:rFonts w:ascii="Times New Roman" w:eastAsia="Times New Roman" w:hAnsi="Times New Roman" w:cs="Times New Roman"/>
                <w:b/>
                <w:sz w:val="24"/>
                <w:szCs w:val="24"/>
                <w:lang w:eastAsia="vi-VN"/>
              </w:rPr>
            </w:pPr>
            <w:r w:rsidRPr="003D5FA9">
              <w:rPr>
                <w:rFonts w:ascii="Times New Roman" w:eastAsia="Calibri" w:hAnsi="Times New Roman" w:cs="Times New Roman"/>
                <w:noProof/>
                <w:sz w:val="24"/>
                <w:szCs w:val="24"/>
              </w:rPr>
              <mc:AlternateContent>
                <mc:Choice Requires="wps">
                  <w:drawing>
                    <wp:anchor distT="4294967292" distB="4294967292" distL="114300" distR="114300" simplePos="0" relativeHeight="251659264" behindDoc="0" locked="0" layoutInCell="1" allowOverlap="1" wp14:anchorId="05EA725E" wp14:editId="0E323174">
                      <wp:simplePos x="0" y="0"/>
                      <wp:positionH relativeFrom="column">
                        <wp:posOffset>549910</wp:posOffset>
                      </wp:positionH>
                      <wp:positionV relativeFrom="paragraph">
                        <wp:posOffset>232410</wp:posOffset>
                      </wp:positionV>
                      <wp:extent cx="1219200" cy="0"/>
                      <wp:effectExtent l="0" t="0" r="0" b="0"/>
                      <wp:wrapNone/>
                      <wp:docPr id="15759099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13F61" id="Straight Connector 7"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3.3pt,18.3pt" to="139.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">
                      <o:lock v:ext="edit" shapetype="f"/>
                    </v:line>
                  </w:pict>
                </mc:Fallback>
              </mc:AlternateContent>
            </w:r>
            <w:r w:rsidRPr="003D5FA9">
              <w:rPr>
                <w:rFonts w:ascii="Times New Roman" w:eastAsia="Times New Roman" w:hAnsi="Times New Roman" w:cs="Times New Roman"/>
                <w:b/>
                <w:sz w:val="24"/>
                <w:szCs w:val="24"/>
                <w:lang w:val="en" w:eastAsia="vi-VN"/>
              </w:rPr>
              <w:t xml:space="preserve">BỘ </w:t>
            </w:r>
            <w:r w:rsidRPr="003D5FA9">
              <w:rPr>
                <w:rFonts w:ascii="Times New Roman" w:eastAsia="Times New Roman" w:hAnsi="Times New Roman" w:cs="Times New Roman"/>
                <w:b/>
                <w:sz w:val="24"/>
                <w:szCs w:val="24"/>
                <w:lang w:eastAsia="vi-VN"/>
              </w:rPr>
              <w:t>KHOA HỌC VÀ CÔNG NGHỆ</w:t>
            </w:r>
          </w:p>
        </w:tc>
        <w:tc>
          <w:tcPr>
            <w:tcW w:w="5378" w:type="dxa"/>
          </w:tcPr>
          <w:p w14:paraId="1983FA3D" w14:textId="77777777" w:rsidR="00D85F22" w:rsidRPr="003D5FA9" w:rsidRDefault="00D85F22" w:rsidP="00D85F22">
            <w:pPr>
              <w:spacing w:after="0" w:line="240" w:lineRule="auto"/>
              <w:ind w:left="57"/>
              <w:jc w:val="center"/>
              <w:rPr>
                <w:rFonts w:ascii="Times New Roman" w:eastAsia="Times New Roman" w:hAnsi="Times New Roman" w:cs="Times New Roman"/>
                <w:b/>
                <w:sz w:val="24"/>
                <w:szCs w:val="24"/>
                <w:lang w:val="en" w:eastAsia="vi-VN"/>
              </w:rPr>
            </w:pPr>
            <w:r w:rsidRPr="003D5FA9">
              <w:rPr>
                <w:rFonts w:ascii="Times New Roman" w:eastAsia="Times New Roman" w:hAnsi="Times New Roman" w:cs="Times New Roman"/>
                <w:b/>
                <w:sz w:val="24"/>
                <w:szCs w:val="24"/>
                <w:lang w:val="en" w:eastAsia="vi-VN"/>
              </w:rPr>
              <w:t>CỘNG HÒA XÃ HỘI CHỦ NGHĨA VIỆT NAM</w:t>
            </w:r>
          </w:p>
          <w:p w14:paraId="7723C2BC" w14:textId="77777777" w:rsidR="00D85F22" w:rsidRPr="003D5FA9" w:rsidRDefault="00D85F22" w:rsidP="00D85F22">
            <w:pPr>
              <w:spacing w:after="0" w:line="240" w:lineRule="auto"/>
              <w:ind w:left="57" w:firstLine="369"/>
              <w:jc w:val="center"/>
              <w:rPr>
                <w:rFonts w:ascii="Times New Roman" w:eastAsia="Times New Roman" w:hAnsi="Times New Roman" w:cs="Times New Roman"/>
                <w:sz w:val="26"/>
                <w:szCs w:val="26"/>
                <w:lang w:val="en" w:eastAsia="vi-VN"/>
              </w:rPr>
            </w:pPr>
            <w:r w:rsidRPr="003D5FA9">
              <w:rPr>
                <w:rFonts w:ascii="Times New Roman" w:eastAsia="Calibri" w:hAnsi="Times New Roman" w:cs="Times New Roman"/>
                <w:noProof/>
                <w:sz w:val="26"/>
                <w:szCs w:val="26"/>
              </w:rPr>
              <mc:AlternateContent>
                <mc:Choice Requires="wps">
                  <w:drawing>
                    <wp:anchor distT="4294967292" distB="4294967292" distL="114300" distR="114300" simplePos="0" relativeHeight="251660288" behindDoc="0" locked="0" layoutInCell="1" allowOverlap="1" wp14:anchorId="369FF68C" wp14:editId="31C236AC">
                      <wp:simplePos x="0" y="0"/>
                      <wp:positionH relativeFrom="column">
                        <wp:posOffset>798830</wp:posOffset>
                      </wp:positionH>
                      <wp:positionV relativeFrom="paragraph">
                        <wp:posOffset>209550</wp:posOffset>
                      </wp:positionV>
                      <wp:extent cx="1962150" cy="0"/>
                      <wp:effectExtent l="0" t="0" r="0" b="0"/>
                      <wp:wrapNone/>
                      <wp:docPr id="20522677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98AF5B" id="Straight Connector 5"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2.9pt,16.5pt" to="21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">
                      <o:lock v:ext="edit" shapetype="f"/>
                    </v:line>
                  </w:pict>
                </mc:Fallback>
              </mc:AlternateContent>
            </w:r>
            <w:r w:rsidRPr="003D5FA9">
              <w:rPr>
                <w:rFonts w:ascii="Times New Roman" w:eastAsia="Times New Roman" w:hAnsi="Times New Roman" w:cs="Times New Roman"/>
                <w:b/>
                <w:sz w:val="26"/>
                <w:szCs w:val="26"/>
                <w:lang w:val="en" w:eastAsia="vi-VN"/>
              </w:rPr>
              <w:t>Độc lập - Tự do - Hạnh phúc</w:t>
            </w:r>
          </w:p>
        </w:tc>
      </w:tr>
      <w:tr w:rsidR="00D85F22" w:rsidRPr="003D5FA9" w14:paraId="2652A047" w14:textId="77777777" w:rsidTr="00BE1A88">
        <w:trPr>
          <w:cantSplit/>
          <w:trHeight w:val="626"/>
        </w:trPr>
        <w:tc>
          <w:tcPr>
            <w:tcW w:w="4138" w:type="dxa"/>
          </w:tcPr>
          <w:p w14:paraId="42D3A64D" w14:textId="77777777" w:rsidR="00D85F22" w:rsidRPr="003D5FA9" w:rsidRDefault="00D85F22" w:rsidP="00D85F22">
            <w:pPr>
              <w:keepNext/>
              <w:spacing w:after="0" w:line="240" w:lineRule="auto"/>
              <w:jc w:val="both"/>
              <w:rPr>
                <w:rFonts w:ascii="Times New Roman" w:eastAsia="Times New Roman" w:hAnsi="Times New Roman" w:cs="Times New Roman"/>
                <w:sz w:val="24"/>
                <w:szCs w:val="24"/>
                <w:lang w:eastAsia="vi-VN"/>
              </w:rPr>
            </w:pPr>
          </w:p>
        </w:tc>
        <w:tc>
          <w:tcPr>
            <w:tcW w:w="5378" w:type="dxa"/>
          </w:tcPr>
          <w:p w14:paraId="4C9FB795" w14:textId="4C3781F7" w:rsidR="00D85F22" w:rsidRPr="003D5FA9" w:rsidRDefault="005D48E3" w:rsidP="005D48E3">
            <w:pPr>
              <w:spacing w:after="0" w:line="240" w:lineRule="auto"/>
              <w:ind w:left="57"/>
              <w:jc w:val="center"/>
              <w:rPr>
                <w:rFonts w:ascii="Times New Roman" w:eastAsia="Times New Roman" w:hAnsi="Times New Roman" w:cs="Times New Roman"/>
                <w:sz w:val="24"/>
                <w:szCs w:val="24"/>
                <w:lang w:val="en" w:eastAsia="vi-VN"/>
              </w:rPr>
            </w:pPr>
            <w:r w:rsidRPr="003D5FA9">
              <w:rPr>
                <w:rFonts w:ascii="Times New Roman" w:eastAsia="Times New Roman" w:hAnsi="Times New Roman" w:cs="Times New Roman"/>
                <w:i/>
                <w:sz w:val="24"/>
                <w:szCs w:val="24"/>
                <w:lang w:val="en" w:eastAsia="vi-VN"/>
              </w:rPr>
              <w:t xml:space="preserve">         </w:t>
            </w:r>
            <w:r w:rsidR="00D85F22" w:rsidRPr="003D5FA9">
              <w:rPr>
                <w:rFonts w:ascii="Times New Roman" w:eastAsia="Times New Roman" w:hAnsi="Times New Roman" w:cs="Times New Roman"/>
                <w:i/>
                <w:sz w:val="24"/>
                <w:szCs w:val="24"/>
                <w:lang w:val="en" w:eastAsia="vi-VN"/>
              </w:rPr>
              <w:t xml:space="preserve">Hà Nội, ngày  </w:t>
            </w:r>
            <w:r w:rsidR="007B7676" w:rsidRPr="003D5FA9">
              <w:rPr>
                <w:rFonts w:ascii="Times New Roman" w:eastAsia="Times New Roman" w:hAnsi="Times New Roman" w:cs="Times New Roman"/>
                <w:i/>
                <w:sz w:val="24"/>
                <w:szCs w:val="24"/>
                <w:lang w:val="en" w:eastAsia="vi-VN"/>
              </w:rPr>
              <w:t>17</w:t>
            </w:r>
            <w:r w:rsidR="00D85F22" w:rsidRPr="003D5FA9">
              <w:rPr>
                <w:rFonts w:ascii="Times New Roman" w:eastAsia="Times New Roman" w:hAnsi="Times New Roman" w:cs="Times New Roman"/>
                <w:i/>
                <w:sz w:val="24"/>
                <w:szCs w:val="24"/>
                <w:lang w:val="en" w:eastAsia="vi-VN"/>
              </w:rPr>
              <w:t xml:space="preserve">  </w:t>
            </w:r>
            <w:r w:rsidR="00D85F22" w:rsidRPr="003D5FA9">
              <w:rPr>
                <w:rFonts w:ascii="Times New Roman" w:eastAsia="Times New Roman" w:hAnsi="Times New Roman" w:cs="Times New Roman"/>
                <w:i/>
                <w:sz w:val="24"/>
                <w:szCs w:val="24"/>
                <w:lang w:val="vi-VN" w:eastAsia="vi-VN"/>
              </w:rPr>
              <w:t xml:space="preserve"> </w:t>
            </w:r>
            <w:r w:rsidR="00D85F22" w:rsidRPr="003D5FA9">
              <w:rPr>
                <w:rFonts w:ascii="Times New Roman" w:eastAsia="Times New Roman" w:hAnsi="Times New Roman" w:cs="Times New Roman"/>
                <w:i/>
                <w:sz w:val="24"/>
                <w:szCs w:val="24"/>
                <w:lang w:val="en" w:eastAsia="vi-VN"/>
              </w:rPr>
              <w:t xml:space="preserve">tháng </w:t>
            </w:r>
            <w:r w:rsidR="007B7676" w:rsidRPr="003D5FA9">
              <w:rPr>
                <w:rFonts w:ascii="Times New Roman" w:eastAsia="Times New Roman" w:hAnsi="Times New Roman" w:cs="Times New Roman"/>
                <w:i/>
                <w:sz w:val="24"/>
                <w:szCs w:val="24"/>
                <w:lang w:val="en" w:eastAsia="vi-VN"/>
              </w:rPr>
              <w:t>12</w:t>
            </w:r>
            <w:r w:rsidR="00D85F22" w:rsidRPr="003D5FA9">
              <w:rPr>
                <w:rFonts w:ascii="Times New Roman" w:eastAsia="Times New Roman" w:hAnsi="Times New Roman" w:cs="Times New Roman"/>
                <w:i/>
                <w:sz w:val="24"/>
                <w:szCs w:val="24"/>
                <w:lang w:val="en" w:eastAsia="vi-VN"/>
              </w:rPr>
              <w:t xml:space="preserve">    năm 2025</w:t>
            </w:r>
          </w:p>
        </w:tc>
      </w:tr>
    </w:tbl>
    <w:p w14:paraId="4ADB92C4" w14:textId="77777777" w:rsidR="00D85F22" w:rsidRPr="003D5FA9" w:rsidRDefault="00D85F22" w:rsidP="00D85F22">
      <w:pPr>
        <w:spacing w:after="0" w:line="240" w:lineRule="auto"/>
        <w:jc w:val="center"/>
        <w:rPr>
          <w:rFonts w:ascii="Times New Roman" w:eastAsia="Times New Roman" w:hAnsi="Times New Roman" w:cs="Times New Roman"/>
          <w:sz w:val="28"/>
          <w:szCs w:val="28"/>
          <w:lang w:val="en" w:eastAsia="vi-VN"/>
        </w:rPr>
      </w:pPr>
      <w:r w:rsidRPr="003D5FA9">
        <w:rPr>
          <w:rFonts w:ascii="Times New Roman" w:eastAsia="Times New Roman" w:hAnsi="Times New Roman" w:cs="Times New Roman"/>
          <w:b/>
          <w:sz w:val="28"/>
          <w:szCs w:val="28"/>
          <w:lang w:val="en" w:eastAsia="vi-VN"/>
        </w:rPr>
        <w:t>BÁO CÁO</w:t>
      </w:r>
    </w:p>
    <w:p w14:paraId="649A5446" w14:textId="77777777" w:rsidR="00D85F22" w:rsidRPr="003D5FA9" w:rsidRDefault="00D85F22" w:rsidP="00D85F22">
      <w:pPr>
        <w:spacing w:after="0" w:line="240" w:lineRule="auto"/>
        <w:jc w:val="center"/>
        <w:rPr>
          <w:rFonts w:ascii="Times New Roman" w:eastAsia="Times New Roman" w:hAnsi="Times New Roman" w:cs="Times New Roman"/>
          <w:sz w:val="28"/>
          <w:szCs w:val="28"/>
          <w:lang w:val="vi-VN" w:eastAsia="vi-VN"/>
        </w:rPr>
      </w:pPr>
      <w:r w:rsidRPr="003D5FA9">
        <w:rPr>
          <w:rFonts w:ascii="Times New Roman" w:eastAsia="Times New Roman" w:hAnsi="Times New Roman" w:cs="Times New Roman"/>
          <w:b/>
          <w:sz w:val="28"/>
          <w:szCs w:val="28"/>
          <w:lang w:eastAsia="vi-VN"/>
        </w:rPr>
        <w:t xml:space="preserve">Tình hình </w:t>
      </w:r>
      <w:r w:rsidRPr="003D5FA9">
        <w:rPr>
          <w:rFonts w:ascii="Times New Roman" w:eastAsia="Times New Roman" w:hAnsi="Times New Roman" w:cs="Times New Roman"/>
          <w:b/>
          <w:sz w:val="28"/>
          <w:szCs w:val="28"/>
          <w:lang w:val="vi-VN" w:eastAsia="vi-VN"/>
        </w:rPr>
        <w:t>thực hiện các nhiệm vụ phát triển</w:t>
      </w:r>
      <w:r w:rsidRPr="003D5FA9">
        <w:rPr>
          <w:rFonts w:ascii="Times New Roman" w:eastAsia="Times New Roman" w:hAnsi="Times New Roman" w:cs="Times New Roman"/>
          <w:b/>
          <w:sz w:val="28"/>
          <w:szCs w:val="28"/>
          <w:lang w:val="en" w:eastAsia="vi-VN"/>
        </w:rPr>
        <w:t xml:space="preserve"> </w:t>
      </w:r>
      <w:r w:rsidRPr="003D5FA9">
        <w:rPr>
          <w:rFonts w:ascii="Times New Roman" w:eastAsia="Times New Roman" w:hAnsi="Times New Roman" w:cs="Times New Roman"/>
          <w:b/>
          <w:sz w:val="28"/>
          <w:szCs w:val="28"/>
          <w:lang w:val="vi-VN" w:eastAsia="vi-VN"/>
        </w:rPr>
        <w:t>k</w:t>
      </w:r>
      <w:r w:rsidRPr="003D5FA9">
        <w:rPr>
          <w:rFonts w:ascii="Times New Roman" w:eastAsia="Times New Roman" w:hAnsi="Times New Roman" w:cs="Times New Roman"/>
          <w:b/>
          <w:sz w:val="28"/>
          <w:szCs w:val="28"/>
          <w:lang w:val="en" w:eastAsia="vi-VN"/>
        </w:rPr>
        <w:t xml:space="preserve">hoa học, </w:t>
      </w:r>
      <w:r w:rsidRPr="003D5FA9">
        <w:rPr>
          <w:rFonts w:ascii="Times New Roman" w:eastAsia="Times New Roman" w:hAnsi="Times New Roman" w:cs="Times New Roman"/>
          <w:b/>
          <w:sz w:val="28"/>
          <w:szCs w:val="28"/>
          <w:lang w:val="vi-VN" w:eastAsia="vi-VN"/>
        </w:rPr>
        <w:t>c</w:t>
      </w:r>
      <w:r w:rsidRPr="003D5FA9">
        <w:rPr>
          <w:rFonts w:ascii="Times New Roman" w:eastAsia="Times New Roman" w:hAnsi="Times New Roman" w:cs="Times New Roman"/>
          <w:b/>
          <w:sz w:val="28"/>
          <w:szCs w:val="28"/>
          <w:lang w:val="en" w:eastAsia="vi-VN"/>
        </w:rPr>
        <w:t xml:space="preserve">ông nghệ, </w:t>
      </w:r>
      <w:r w:rsidRPr="003D5FA9">
        <w:rPr>
          <w:rFonts w:ascii="Times New Roman" w:eastAsia="Times New Roman" w:hAnsi="Times New Roman" w:cs="Times New Roman"/>
          <w:b/>
          <w:sz w:val="28"/>
          <w:szCs w:val="28"/>
          <w:lang w:val="en" w:eastAsia="vi-VN"/>
        </w:rPr>
        <w:br/>
      </w:r>
      <w:r w:rsidRPr="003D5FA9">
        <w:rPr>
          <w:rFonts w:ascii="Times New Roman" w:eastAsia="Times New Roman" w:hAnsi="Times New Roman" w:cs="Times New Roman"/>
          <w:b/>
          <w:sz w:val="28"/>
          <w:szCs w:val="28"/>
          <w:lang w:val="vi-VN" w:eastAsia="vi-VN"/>
        </w:rPr>
        <w:t>đ</w:t>
      </w:r>
      <w:r w:rsidRPr="003D5FA9">
        <w:rPr>
          <w:rFonts w:ascii="Times New Roman" w:eastAsia="Times New Roman" w:hAnsi="Times New Roman" w:cs="Times New Roman"/>
          <w:b/>
          <w:sz w:val="28"/>
          <w:szCs w:val="28"/>
          <w:lang w:val="en" w:eastAsia="vi-VN"/>
        </w:rPr>
        <w:t xml:space="preserve">ổi mới sáng tạo và </w:t>
      </w:r>
      <w:r w:rsidRPr="003D5FA9">
        <w:rPr>
          <w:rFonts w:ascii="Times New Roman" w:eastAsia="Times New Roman" w:hAnsi="Times New Roman" w:cs="Times New Roman"/>
          <w:b/>
          <w:sz w:val="28"/>
          <w:szCs w:val="28"/>
          <w:lang w:val="vi-VN" w:eastAsia="vi-VN"/>
        </w:rPr>
        <w:t>c</w:t>
      </w:r>
      <w:r w:rsidRPr="003D5FA9">
        <w:rPr>
          <w:rFonts w:ascii="Times New Roman" w:eastAsia="Times New Roman" w:hAnsi="Times New Roman" w:cs="Times New Roman"/>
          <w:b/>
          <w:sz w:val="28"/>
          <w:szCs w:val="28"/>
          <w:lang w:val="en" w:eastAsia="vi-VN"/>
        </w:rPr>
        <w:t>huyển đổi số quốc gia</w:t>
      </w:r>
    </w:p>
    <w:p w14:paraId="0F9FF0ED" w14:textId="27F979A6" w:rsidR="00D85F22" w:rsidRPr="003D5FA9" w:rsidRDefault="00D85F22" w:rsidP="00D85F22">
      <w:pPr>
        <w:spacing w:after="0" w:line="360" w:lineRule="exact"/>
        <w:jc w:val="center"/>
        <w:rPr>
          <w:rFonts w:ascii="Times New Roman" w:eastAsia="Times New Roman" w:hAnsi="Times New Roman" w:cs="Times New Roman"/>
          <w:b/>
          <w:i/>
          <w:sz w:val="28"/>
          <w:szCs w:val="28"/>
          <w:lang w:eastAsia="vi-VN"/>
        </w:rPr>
      </w:pPr>
      <w:r w:rsidRPr="003D5FA9">
        <w:rPr>
          <w:rFonts w:ascii="Times New Roman" w:eastAsia="Times New Roman" w:hAnsi="Times New Roman" w:cs="Times New Roman"/>
          <w:b/>
          <w:i/>
          <w:sz w:val="28"/>
          <w:szCs w:val="28"/>
          <w:lang w:val="vi-VN" w:eastAsia="vi-VN"/>
        </w:rPr>
        <w:t>(</w:t>
      </w:r>
      <w:r w:rsidRPr="003D5FA9">
        <w:rPr>
          <w:rFonts w:ascii="Times New Roman" w:eastAsia="Times New Roman" w:hAnsi="Times New Roman" w:cs="Times New Roman"/>
          <w:bCs/>
          <w:i/>
          <w:sz w:val="28"/>
          <w:szCs w:val="28"/>
          <w:lang w:val="vi-VN" w:eastAsia="vi-VN"/>
        </w:rPr>
        <w:t>Phục vụ</w:t>
      </w:r>
      <w:r w:rsidRPr="003D5FA9">
        <w:rPr>
          <w:rFonts w:ascii="Times New Roman" w:eastAsia="Times New Roman" w:hAnsi="Times New Roman" w:cs="Times New Roman"/>
          <w:i/>
          <w:sz w:val="28"/>
          <w:szCs w:val="28"/>
          <w:lang w:eastAsia="vi-VN"/>
        </w:rPr>
        <w:t xml:space="preserve"> Hội nghị Sơ kết 01 năm triển khai Chương trình hành động của Chính phủ thực hiện Nghị quyết số 57-NQ/TW</w:t>
      </w:r>
      <w:r w:rsidR="009A0CAC" w:rsidRPr="003D5FA9">
        <w:rPr>
          <w:rFonts w:ascii="Times New Roman" w:eastAsia="Times New Roman" w:hAnsi="Times New Roman" w:cs="Times New Roman"/>
          <w:i/>
          <w:sz w:val="28"/>
          <w:szCs w:val="28"/>
          <w:lang w:eastAsia="vi-VN"/>
        </w:rPr>
        <w:t>, 05 năm thực hiện chương trình tổng thể CCHC nhà nước; 04 năm triển khai Đề án 06</w:t>
      </w:r>
      <w:r w:rsidRPr="003D5FA9">
        <w:rPr>
          <w:rFonts w:ascii="Times New Roman" w:eastAsia="Times New Roman" w:hAnsi="Times New Roman" w:cs="Times New Roman"/>
          <w:b/>
          <w:i/>
          <w:sz w:val="28"/>
          <w:szCs w:val="28"/>
          <w:lang w:val="vi-VN" w:eastAsia="vi-VN"/>
        </w:rPr>
        <w:t>)</w:t>
      </w:r>
    </w:p>
    <w:p w14:paraId="0C54C445" w14:textId="77777777" w:rsidR="005F3240" w:rsidRPr="003D5FA9" w:rsidRDefault="005F3240" w:rsidP="005F3240">
      <w:pPr>
        <w:spacing w:after="0"/>
        <w:jc w:val="center"/>
        <w:rPr>
          <w:rFonts w:ascii="Times New Roman" w:hAnsi="Times New Roman" w:cs="Times New Roman"/>
          <w:i/>
          <w:iCs/>
          <w:sz w:val="28"/>
          <w:szCs w:val="28"/>
        </w:rPr>
      </w:pPr>
    </w:p>
    <w:p w14:paraId="67EAD90F" w14:textId="79ABD618" w:rsidR="00052A67" w:rsidRPr="003D5FA9" w:rsidRDefault="0015757F" w:rsidP="00CA7AC8">
      <w:pPr>
        <w:pStyle w:val="Heading2"/>
        <w:spacing w:before="120"/>
        <w:ind w:firstLine="720"/>
        <w:jc w:val="both"/>
        <w:rPr>
          <w:rFonts w:ascii="Times New Roman" w:hAnsi="Times New Roman" w:cs="Times New Roman"/>
          <w:color w:val="auto"/>
          <w:sz w:val="28"/>
          <w:szCs w:val="28"/>
        </w:rPr>
      </w:pPr>
      <w:r w:rsidRPr="003D5FA9">
        <w:rPr>
          <w:rFonts w:ascii="Times New Roman" w:hAnsi="Times New Roman" w:cs="Times New Roman"/>
          <w:color w:val="auto"/>
          <w:sz w:val="28"/>
          <w:szCs w:val="28"/>
        </w:rPr>
        <w:t>I. CÔNG TÁC LÃNH ĐẠO, CHỈ ĐẠO, TỔ CHỨC THỰC HIỆN</w:t>
      </w:r>
    </w:p>
    <w:p w14:paraId="4E7EE833" w14:textId="77777777" w:rsidR="008736AC" w:rsidRPr="003D5FA9" w:rsidRDefault="008736AC" w:rsidP="008736AC">
      <w:pPr>
        <w:pStyle w:val="Heading2"/>
        <w:spacing w:before="120"/>
        <w:ind w:firstLine="720"/>
        <w:jc w:val="both"/>
        <w:rPr>
          <w:rFonts w:ascii="Times New Roman" w:eastAsiaTheme="minorEastAsia" w:hAnsi="Times New Roman" w:cs="Times New Roman"/>
          <w:b w:val="0"/>
          <w:bCs w:val="0"/>
          <w:color w:val="auto"/>
          <w:sz w:val="28"/>
          <w:szCs w:val="28"/>
          <w:lang w:val="vi-VN"/>
        </w:rPr>
      </w:pPr>
      <w:r w:rsidRPr="003D5FA9">
        <w:rPr>
          <w:rFonts w:ascii="Times New Roman" w:eastAsiaTheme="minorEastAsia" w:hAnsi="Times New Roman" w:cs="Times New Roman"/>
          <w:b w:val="0"/>
          <w:bCs w:val="0"/>
          <w:color w:val="auto"/>
          <w:sz w:val="28"/>
          <w:szCs w:val="28"/>
          <w:lang w:val="vi-VN"/>
        </w:rPr>
        <w:t>Trong năm 2025, công tác lãnh đạo, chỉ đạo, điều hành của Chính phủ, Thủ tướng Chính phủ và Ban Chỉ đạo của Chính phủ về phát triển khoa học, công nghệ, đổi mới sáng tạo, chuyển đổi số và Đề án 06 được triển khai quyết liệt, đồng bộ, xuyên suốt từ Trung ương đến địa phương, theo tinh thần “thống nhất - thông suốt - đồng bộ - toàn diện - hiệu quả”. Công tác này đã tạo chuyển biến rõ nét cả về chất lượng điều hành và kết quả thực thi.</w:t>
      </w:r>
    </w:p>
    <w:p w14:paraId="759EDCB1" w14:textId="77777777" w:rsidR="008736AC" w:rsidRPr="003D5FA9" w:rsidRDefault="008736AC" w:rsidP="008736AC">
      <w:pPr>
        <w:pStyle w:val="Heading2"/>
        <w:spacing w:before="120"/>
        <w:ind w:firstLine="720"/>
        <w:jc w:val="both"/>
        <w:rPr>
          <w:rFonts w:ascii="Times New Roman" w:eastAsiaTheme="minorEastAsia" w:hAnsi="Times New Roman" w:cs="Times New Roman"/>
          <w:b w:val="0"/>
          <w:bCs w:val="0"/>
          <w:color w:val="auto"/>
          <w:sz w:val="28"/>
          <w:szCs w:val="28"/>
          <w:lang w:val="vi-VN"/>
        </w:rPr>
      </w:pPr>
      <w:r w:rsidRPr="003D5FA9">
        <w:rPr>
          <w:rFonts w:ascii="Times New Roman" w:eastAsiaTheme="minorEastAsia" w:hAnsi="Times New Roman" w:cs="Times New Roman"/>
          <w:b w:val="0"/>
          <w:bCs w:val="0"/>
          <w:color w:val="auto"/>
          <w:sz w:val="28"/>
          <w:szCs w:val="28"/>
          <w:lang w:val="vi-VN"/>
        </w:rPr>
        <w:t>Chính phủ, Thủ tướng Chính phủ đã chỉ đạo quyết liệt, ban hành khối lượng lớn văn bản điều hành nhằm cụ thể hóa Nghị quyết số 57-NQ/TW và các kết luận của Ban Chỉ đạo Trung ương, gồm: 14 chỉ thị, 25 công điện, 40 thông báo kết luận và 80 văn bản chỉ đạo; Tổ chức 05 Phiên họp của Ban Chỉ đạo của Chính phủ và 30 cuộc họp của lãnh đạo Chính phủ để chỉ đạo phát triển KHCN, ĐMST, CĐS và ĐA06 và công tác ứng dụng CNTT, chuyển đổi số phục vụ vận hành mô hình chính quyền địa phương 02 cấp.</w:t>
      </w:r>
    </w:p>
    <w:p w14:paraId="78247B9A" w14:textId="194FA7F8" w:rsidR="008736AC" w:rsidRPr="003D5FA9" w:rsidRDefault="008736AC" w:rsidP="008736AC">
      <w:pPr>
        <w:pStyle w:val="Heading2"/>
        <w:spacing w:before="120"/>
        <w:ind w:firstLine="720"/>
        <w:jc w:val="both"/>
        <w:rPr>
          <w:rFonts w:ascii="Times New Roman" w:eastAsiaTheme="minorEastAsia" w:hAnsi="Times New Roman" w:cs="Times New Roman"/>
          <w:b w:val="0"/>
          <w:bCs w:val="0"/>
          <w:color w:val="auto"/>
          <w:sz w:val="28"/>
          <w:szCs w:val="28"/>
        </w:rPr>
      </w:pPr>
      <w:r w:rsidRPr="003D5FA9">
        <w:rPr>
          <w:rFonts w:ascii="Times New Roman" w:eastAsiaTheme="minorEastAsia" w:hAnsi="Times New Roman" w:cs="Times New Roman"/>
          <w:b w:val="0"/>
          <w:bCs w:val="0"/>
          <w:color w:val="auto"/>
          <w:sz w:val="28"/>
          <w:szCs w:val="28"/>
          <w:lang w:val="vi-VN"/>
        </w:rPr>
        <w:t>Phương thức điều hành chuyển mạnh sang mô hình dựa trên dữ liệu, thời gian thực, thay thế cách quản lý hành chính truyền thống; Bộ chỉ số (KPIs) được ứng dụng đồng bộ, nâng cao tính chủ động, minh bạch, và khả năng đo lường kết quả; Hệ thống giám sát tình hình thực hiện nhiệm vụ, dashboard dữ liệu thời gian thực được thiết lập, hỗ trợ theo dõi tiến độ từng nhiệm vụ, từng bộ, ngành, địa phương theo nguyên tắc “6 rõ</w:t>
      </w:r>
      <w:r w:rsidR="00795617" w:rsidRPr="003D5FA9">
        <w:rPr>
          <w:rFonts w:ascii="Times New Roman" w:eastAsiaTheme="minorEastAsia" w:hAnsi="Times New Roman" w:cs="Times New Roman"/>
          <w:b w:val="0"/>
          <w:bCs w:val="0"/>
          <w:color w:val="auto"/>
          <w:sz w:val="28"/>
          <w:szCs w:val="28"/>
        </w:rPr>
        <w:t>.</w:t>
      </w:r>
    </w:p>
    <w:p w14:paraId="05131CAF" w14:textId="2AA6B417" w:rsidR="007A17C4" w:rsidRPr="003D5FA9" w:rsidRDefault="00052A67" w:rsidP="008736AC">
      <w:pPr>
        <w:pStyle w:val="Heading2"/>
        <w:spacing w:before="120"/>
        <w:ind w:firstLine="720"/>
        <w:jc w:val="both"/>
        <w:rPr>
          <w:rFonts w:ascii="Times New Roman" w:hAnsi="Times New Roman" w:cs="Times New Roman"/>
          <w:color w:val="auto"/>
          <w:sz w:val="28"/>
          <w:szCs w:val="28"/>
        </w:rPr>
      </w:pPr>
      <w:r w:rsidRPr="003D5FA9">
        <w:rPr>
          <w:rFonts w:ascii="Times New Roman" w:hAnsi="Times New Roman" w:cs="Times New Roman"/>
          <w:sz w:val="28"/>
          <w:szCs w:val="28"/>
        </w:rPr>
        <w:t xml:space="preserve"> </w:t>
      </w:r>
      <w:r w:rsidR="0015757F" w:rsidRPr="003D5FA9">
        <w:rPr>
          <w:rFonts w:ascii="Times New Roman" w:hAnsi="Times New Roman" w:cs="Times New Roman"/>
          <w:color w:val="auto"/>
          <w:sz w:val="28"/>
          <w:szCs w:val="28"/>
        </w:rPr>
        <w:t>II. TÌNH HÌNH THỰC HIỆN NHIỆM VỤ ĐƯỢC GIAO</w:t>
      </w:r>
    </w:p>
    <w:p w14:paraId="739B247E" w14:textId="2584BA93" w:rsidR="00962800" w:rsidRPr="003D5FA9" w:rsidRDefault="00962800" w:rsidP="00962800">
      <w:pPr>
        <w:spacing w:before="120" w:after="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 xml:space="preserve">Ngày 01/4/2025, Chính phủ đã ban hành Nghị quyết số 71/NQ-CP về Chương trình hành động thực hiện Nghị quyết số 57-NQ/TW của Bộ Chính trị, trong đó giao 326 nhiệm vụ cho 56 cơ quan (22 bộ, cơ quan ngang bộ, cơ quan trực thuộc chính phủ; 34 tỉnh, thành). Tính đến </w:t>
      </w:r>
      <w:r w:rsidR="00274A59" w:rsidRPr="003D5FA9">
        <w:rPr>
          <w:rFonts w:ascii="Times New Roman" w:hAnsi="Times New Roman" w:cs="Times New Roman"/>
          <w:sz w:val="28"/>
          <w:szCs w:val="28"/>
        </w:rPr>
        <w:t>10h ngày 17</w:t>
      </w:r>
      <w:r w:rsidRPr="003D5FA9">
        <w:rPr>
          <w:rFonts w:ascii="Times New Roman" w:hAnsi="Times New Roman" w:cs="Times New Roman"/>
          <w:sz w:val="28"/>
          <w:szCs w:val="28"/>
          <w:lang w:val="vi-VN"/>
        </w:rPr>
        <w:t xml:space="preserve">/12/2025 có </w:t>
      </w:r>
      <w:r w:rsidR="00274A59" w:rsidRPr="003D5FA9">
        <w:rPr>
          <w:rFonts w:ascii="Times New Roman" w:hAnsi="Times New Roman" w:cs="Times New Roman"/>
          <w:sz w:val="28"/>
          <w:szCs w:val="28"/>
        </w:rPr>
        <w:t xml:space="preserve">23 nhiệm vụ thường xuyên; </w:t>
      </w:r>
      <w:r w:rsidRPr="003D5FA9">
        <w:rPr>
          <w:rFonts w:ascii="Times New Roman" w:hAnsi="Times New Roman" w:cs="Times New Roman"/>
          <w:sz w:val="28"/>
          <w:szCs w:val="28"/>
          <w:lang w:val="vi-VN"/>
        </w:rPr>
        <w:t>16</w:t>
      </w:r>
      <w:r w:rsidR="00274A59" w:rsidRPr="003D5FA9">
        <w:rPr>
          <w:rFonts w:ascii="Times New Roman" w:hAnsi="Times New Roman" w:cs="Times New Roman"/>
          <w:sz w:val="28"/>
          <w:szCs w:val="28"/>
        </w:rPr>
        <w:t>2</w:t>
      </w:r>
      <w:r w:rsidRPr="003D5FA9">
        <w:rPr>
          <w:rFonts w:ascii="Times New Roman" w:hAnsi="Times New Roman" w:cs="Times New Roman"/>
          <w:sz w:val="28"/>
          <w:szCs w:val="28"/>
          <w:lang w:val="vi-VN"/>
        </w:rPr>
        <w:t xml:space="preserve"> nhiệm vụ hoàn thành (11</w:t>
      </w:r>
      <w:r w:rsidR="00274A59" w:rsidRPr="003D5FA9">
        <w:rPr>
          <w:rFonts w:ascii="Times New Roman" w:hAnsi="Times New Roman" w:cs="Times New Roman"/>
          <w:sz w:val="28"/>
          <w:szCs w:val="28"/>
        </w:rPr>
        <w:t>5</w:t>
      </w:r>
      <w:r w:rsidRPr="003D5FA9">
        <w:rPr>
          <w:rFonts w:ascii="Times New Roman" w:hAnsi="Times New Roman" w:cs="Times New Roman"/>
          <w:sz w:val="28"/>
          <w:szCs w:val="28"/>
          <w:lang w:val="vi-VN"/>
        </w:rPr>
        <w:t xml:space="preserve"> đúng hạn, 4</w:t>
      </w:r>
      <w:r w:rsidR="00274A59" w:rsidRPr="003D5FA9">
        <w:rPr>
          <w:rFonts w:ascii="Times New Roman" w:hAnsi="Times New Roman" w:cs="Times New Roman"/>
          <w:sz w:val="28"/>
          <w:szCs w:val="28"/>
        </w:rPr>
        <w:t>7</w:t>
      </w:r>
      <w:r w:rsidRPr="003D5FA9">
        <w:rPr>
          <w:rFonts w:ascii="Times New Roman" w:hAnsi="Times New Roman" w:cs="Times New Roman"/>
          <w:sz w:val="28"/>
          <w:szCs w:val="28"/>
          <w:lang w:val="vi-VN"/>
        </w:rPr>
        <w:t xml:space="preserve"> nhiệm vụ quá hạn), 12</w:t>
      </w:r>
      <w:r w:rsidR="00274A59" w:rsidRPr="003D5FA9">
        <w:rPr>
          <w:rFonts w:ascii="Times New Roman" w:hAnsi="Times New Roman" w:cs="Times New Roman"/>
          <w:sz w:val="28"/>
          <w:szCs w:val="28"/>
        </w:rPr>
        <w:t xml:space="preserve">4 </w:t>
      </w:r>
      <w:r w:rsidR="00274A59" w:rsidRPr="003D5FA9">
        <w:rPr>
          <w:rFonts w:ascii="Times New Roman" w:hAnsi="Times New Roman" w:cs="Times New Roman"/>
          <w:sz w:val="28"/>
          <w:szCs w:val="28"/>
        </w:rPr>
        <w:lastRenderedPageBreak/>
        <w:t>nhiệm vụ</w:t>
      </w:r>
      <w:r w:rsidRPr="003D5FA9">
        <w:rPr>
          <w:rFonts w:ascii="Times New Roman" w:hAnsi="Times New Roman" w:cs="Times New Roman"/>
          <w:sz w:val="28"/>
          <w:szCs w:val="28"/>
          <w:lang w:val="vi-VN"/>
        </w:rPr>
        <w:t xml:space="preserve"> nhiệm vụ đang thực hiện </w:t>
      </w:r>
      <w:r w:rsidR="00274A59" w:rsidRPr="003D5FA9">
        <w:rPr>
          <w:rFonts w:ascii="Times New Roman" w:hAnsi="Times New Roman" w:cs="Times New Roman"/>
          <w:sz w:val="28"/>
          <w:szCs w:val="28"/>
        </w:rPr>
        <w:t>đúng hạn và 17 nhiệm vụ đang thực hiện quá hạn.</w:t>
      </w:r>
      <w:r w:rsidRPr="003D5FA9">
        <w:rPr>
          <w:rFonts w:ascii="Times New Roman" w:hAnsi="Times New Roman" w:cs="Times New Roman"/>
          <w:sz w:val="28"/>
          <w:szCs w:val="28"/>
          <w:lang w:val="vi-VN"/>
        </w:rPr>
        <w:t xml:space="preserve"> </w:t>
      </w:r>
    </w:p>
    <w:p w14:paraId="21D3EAAA" w14:textId="77777777" w:rsidR="00962800" w:rsidRPr="003D5FA9" w:rsidRDefault="00962800" w:rsidP="00962800">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Theo Kế hoạch Kế hoạch số 02-KH/BCĐTW (ngày 19/6/2025), Ban Chỉ đạo Trung ương giao 88 nhiệm vụ, trong đó đến ngày 15/12/2025 có 67 nhiệm vụ đã hoàn thành (44 đúng hạn và 23 quá hạn); 18 nhiệm vụ đang thực hiện đúng hạn và 03 nhiệm vụ đang thực hiện quá hạn.</w:t>
      </w:r>
    </w:p>
    <w:p w14:paraId="59DE3D05" w14:textId="42D7D2D3" w:rsidR="00962800" w:rsidRPr="003D5FA9" w:rsidRDefault="00962800" w:rsidP="00962800">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Theo các Thông báo kết luận của Ban Chỉ đạo Trung ương, có 749 nhiệm vụ, trong đó</w:t>
      </w:r>
      <w:r w:rsidR="00274A59" w:rsidRPr="003D5FA9">
        <w:rPr>
          <w:rFonts w:ascii="Times New Roman" w:hAnsi="Times New Roman" w:cs="Times New Roman"/>
          <w:sz w:val="28"/>
          <w:szCs w:val="28"/>
        </w:rPr>
        <w:t xml:space="preserve"> nhiệm</w:t>
      </w:r>
      <w:r w:rsidRPr="003D5FA9">
        <w:rPr>
          <w:rFonts w:ascii="Times New Roman" w:hAnsi="Times New Roman" w:cs="Times New Roman"/>
          <w:sz w:val="28"/>
          <w:szCs w:val="28"/>
          <w:lang w:val="vi-VN"/>
        </w:rPr>
        <w:t xml:space="preserve"> </w:t>
      </w:r>
      <w:r w:rsidR="00274A59" w:rsidRPr="003D5FA9">
        <w:rPr>
          <w:rFonts w:ascii="Times New Roman" w:hAnsi="Times New Roman" w:cs="Times New Roman"/>
          <w:sz w:val="28"/>
          <w:szCs w:val="28"/>
        </w:rPr>
        <w:t xml:space="preserve">vụ thường xuyên là 143; </w:t>
      </w:r>
      <w:r w:rsidRPr="003D5FA9">
        <w:rPr>
          <w:rFonts w:ascii="Times New Roman" w:hAnsi="Times New Roman" w:cs="Times New Roman"/>
          <w:sz w:val="28"/>
          <w:szCs w:val="28"/>
          <w:lang w:val="vi-VN"/>
        </w:rPr>
        <w:t>đã hoàn thành 3</w:t>
      </w:r>
      <w:r w:rsidR="00274A59" w:rsidRPr="003D5FA9">
        <w:rPr>
          <w:rFonts w:ascii="Times New Roman" w:hAnsi="Times New Roman" w:cs="Times New Roman"/>
          <w:sz w:val="28"/>
          <w:szCs w:val="28"/>
        </w:rPr>
        <w:t>26</w:t>
      </w:r>
      <w:r w:rsidRPr="003D5FA9">
        <w:rPr>
          <w:rFonts w:ascii="Times New Roman" w:hAnsi="Times New Roman" w:cs="Times New Roman"/>
          <w:sz w:val="28"/>
          <w:szCs w:val="28"/>
          <w:lang w:val="vi-VN"/>
        </w:rPr>
        <w:t xml:space="preserve"> nhiệm vụ (21</w:t>
      </w:r>
      <w:r w:rsidR="00274A59" w:rsidRPr="003D5FA9">
        <w:rPr>
          <w:rFonts w:ascii="Times New Roman" w:hAnsi="Times New Roman" w:cs="Times New Roman"/>
          <w:sz w:val="28"/>
          <w:szCs w:val="28"/>
        </w:rPr>
        <w:t>8</w:t>
      </w:r>
      <w:r w:rsidRPr="003D5FA9">
        <w:rPr>
          <w:rFonts w:ascii="Times New Roman" w:hAnsi="Times New Roman" w:cs="Times New Roman"/>
          <w:sz w:val="28"/>
          <w:szCs w:val="28"/>
          <w:lang w:val="vi-VN"/>
        </w:rPr>
        <w:t xml:space="preserve"> đúng hạn, 10</w:t>
      </w:r>
      <w:r w:rsidR="00274A59" w:rsidRPr="003D5FA9">
        <w:rPr>
          <w:rFonts w:ascii="Times New Roman" w:hAnsi="Times New Roman" w:cs="Times New Roman"/>
          <w:sz w:val="28"/>
          <w:szCs w:val="28"/>
        </w:rPr>
        <w:t>8</w:t>
      </w:r>
      <w:r w:rsidRPr="003D5FA9">
        <w:rPr>
          <w:rFonts w:ascii="Times New Roman" w:hAnsi="Times New Roman" w:cs="Times New Roman"/>
          <w:sz w:val="28"/>
          <w:szCs w:val="28"/>
          <w:lang w:val="vi-VN"/>
        </w:rPr>
        <w:t xml:space="preserve"> quá hạn), đang thực hiện đúng hạn là 226 nhiệm vụ và đang thực hiện quá hạn là 6</w:t>
      </w:r>
      <w:r w:rsidR="00274A59" w:rsidRPr="003D5FA9">
        <w:rPr>
          <w:rFonts w:ascii="Times New Roman" w:hAnsi="Times New Roman" w:cs="Times New Roman"/>
          <w:sz w:val="28"/>
          <w:szCs w:val="28"/>
        </w:rPr>
        <w:t>5</w:t>
      </w:r>
      <w:r w:rsidRPr="003D5FA9">
        <w:rPr>
          <w:rFonts w:ascii="Times New Roman" w:hAnsi="Times New Roman" w:cs="Times New Roman"/>
          <w:sz w:val="28"/>
          <w:szCs w:val="28"/>
          <w:lang w:val="vi-VN"/>
        </w:rPr>
        <w:t xml:space="preserve"> nhiệm vụ.</w:t>
      </w:r>
    </w:p>
    <w:p w14:paraId="3DD7CAAC" w14:textId="77777777" w:rsidR="00962800" w:rsidRPr="003D5FA9" w:rsidRDefault="00962800" w:rsidP="00962800">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 xml:space="preserve">Về tổng thể, các bộ, ngành có số nhiệm vụ nhiều nhất gồm Bộ KHCN (473), Bộ Tài chính (274), Bộ Công an (262), Bộ Giáo dục và Đào tạo (214), Bộ Nông nghiệp và Môi trường (187); các địa phương gồm Hà Nội (186), TP.HCM (185), Đà Nẵng (180), Cần Thơ (174), Hải Phòng (174). </w:t>
      </w:r>
    </w:p>
    <w:p w14:paraId="564EA212" w14:textId="4E83BF5B" w:rsidR="005662BE" w:rsidRPr="003D5FA9" w:rsidRDefault="00962800" w:rsidP="00962800">
      <w:pPr>
        <w:ind w:firstLine="720"/>
        <w:jc w:val="both"/>
        <w:rPr>
          <w:rFonts w:ascii="Times New Roman" w:hAnsi="Times New Roman" w:cs="Times New Roman"/>
          <w:sz w:val="28"/>
          <w:szCs w:val="28"/>
        </w:rPr>
      </w:pPr>
      <w:r w:rsidRPr="003D5FA9">
        <w:rPr>
          <w:rFonts w:ascii="Times New Roman" w:hAnsi="Times New Roman" w:cs="Times New Roman"/>
          <w:sz w:val="28"/>
          <w:szCs w:val="28"/>
          <w:lang w:val="vi-VN"/>
        </w:rPr>
        <w:t>Các đơn vị có tỷ lệ hoàn thành</w:t>
      </w:r>
      <w:r w:rsidR="00795617" w:rsidRPr="003D5FA9">
        <w:rPr>
          <w:rFonts w:ascii="Times New Roman" w:hAnsi="Times New Roman" w:cs="Times New Roman"/>
          <w:sz w:val="28"/>
          <w:szCs w:val="28"/>
        </w:rPr>
        <w:t xml:space="preserve"> đúng hạn</w:t>
      </w:r>
      <w:r w:rsidRPr="003D5FA9">
        <w:rPr>
          <w:rFonts w:ascii="Times New Roman" w:hAnsi="Times New Roman" w:cs="Times New Roman"/>
          <w:sz w:val="28"/>
          <w:szCs w:val="28"/>
          <w:lang w:val="vi-VN"/>
        </w:rPr>
        <w:t xml:space="preserve"> cao gồm </w:t>
      </w:r>
      <w:r w:rsidR="00274A59" w:rsidRPr="003D5FA9">
        <w:rPr>
          <w:rFonts w:ascii="Times New Roman" w:hAnsi="Times New Roman" w:cs="Times New Roman"/>
          <w:sz w:val="28"/>
          <w:szCs w:val="28"/>
        </w:rPr>
        <w:t>Thái Nguyên</w:t>
      </w:r>
      <w:r w:rsidRPr="003D5FA9">
        <w:rPr>
          <w:rFonts w:ascii="Times New Roman" w:hAnsi="Times New Roman" w:cs="Times New Roman"/>
          <w:sz w:val="28"/>
          <w:szCs w:val="28"/>
          <w:lang w:val="vi-VN"/>
        </w:rPr>
        <w:t xml:space="preserve"> (131/167), </w:t>
      </w:r>
      <w:r w:rsidR="00274A59" w:rsidRPr="003D5FA9">
        <w:rPr>
          <w:rFonts w:ascii="Times New Roman" w:hAnsi="Times New Roman" w:cs="Times New Roman"/>
          <w:sz w:val="28"/>
          <w:szCs w:val="28"/>
        </w:rPr>
        <w:t xml:space="preserve">Bắc Ninh (128/167), </w:t>
      </w:r>
      <w:r w:rsidRPr="003D5FA9">
        <w:rPr>
          <w:rFonts w:ascii="Times New Roman" w:hAnsi="Times New Roman" w:cs="Times New Roman"/>
          <w:sz w:val="28"/>
          <w:szCs w:val="28"/>
          <w:lang w:val="vi-VN"/>
        </w:rPr>
        <w:t>Tuyên Quang (1</w:t>
      </w:r>
      <w:r w:rsidR="00274A59" w:rsidRPr="003D5FA9">
        <w:rPr>
          <w:rFonts w:ascii="Times New Roman" w:hAnsi="Times New Roman" w:cs="Times New Roman"/>
          <w:sz w:val="28"/>
          <w:szCs w:val="28"/>
        </w:rPr>
        <w:t>27</w:t>
      </w:r>
      <w:r w:rsidRPr="003D5FA9">
        <w:rPr>
          <w:rFonts w:ascii="Times New Roman" w:hAnsi="Times New Roman" w:cs="Times New Roman"/>
          <w:sz w:val="28"/>
          <w:szCs w:val="28"/>
          <w:lang w:val="vi-VN"/>
        </w:rPr>
        <w:t xml:space="preserve">/167), </w:t>
      </w:r>
      <w:r w:rsidR="005662BE" w:rsidRPr="003D5FA9">
        <w:rPr>
          <w:rFonts w:ascii="Times New Roman" w:hAnsi="Times New Roman" w:cs="Times New Roman"/>
          <w:sz w:val="28"/>
          <w:szCs w:val="28"/>
        </w:rPr>
        <w:t>Lào Cai</w:t>
      </w:r>
      <w:r w:rsidRPr="003D5FA9">
        <w:rPr>
          <w:rFonts w:ascii="Times New Roman" w:hAnsi="Times New Roman" w:cs="Times New Roman"/>
          <w:sz w:val="28"/>
          <w:szCs w:val="28"/>
          <w:lang w:val="vi-VN"/>
        </w:rPr>
        <w:t xml:space="preserve"> ( 1</w:t>
      </w:r>
      <w:r w:rsidR="00274A59" w:rsidRPr="003D5FA9">
        <w:rPr>
          <w:rFonts w:ascii="Times New Roman" w:hAnsi="Times New Roman" w:cs="Times New Roman"/>
          <w:sz w:val="28"/>
          <w:szCs w:val="28"/>
        </w:rPr>
        <w:t>24</w:t>
      </w:r>
      <w:r w:rsidRPr="003D5FA9">
        <w:rPr>
          <w:rFonts w:ascii="Times New Roman" w:hAnsi="Times New Roman" w:cs="Times New Roman"/>
          <w:sz w:val="28"/>
          <w:szCs w:val="28"/>
          <w:lang w:val="vi-VN"/>
        </w:rPr>
        <w:t>/167), Đồng Tháp (1</w:t>
      </w:r>
      <w:r w:rsidR="00274A59" w:rsidRPr="003D5FA9">
        <w:rPr>
          <w:rFonts w:ascii="Times New Roman" w:hAnsi="Times New Roman" w:cs="Times New Roman"/>
          <w:sz w:val="28"/>
          <w:szCs w:val="28"/>
        </w:rPr>
        <w:t>19</w:t>
      </w:r>
      <w:r w:rsidRPr="003D5FA9">
        <w:rPr>
          <w:rFonts w:ascii="Times New Roman" w:hAnsi="Times New Roman" w:cs="Times New Roman"/>
          <w:sz w:val="28"/>
          <w:szCs w:val="28"/>
          <w:lang w:val="vi-VN"/>
        </w:rPr>
        <w:t>/167)</w:t>
      </w:r>
      <w:r w:rsidR="005662BE" w:rsidRPr="003D5FA9">
        <w:rPr>
          <w:rFonts w:ascii="Times New Roman" w:hAnsi="Times New Roman" w:cs="Times New Roman"/>
          <w:sz w:val="28"/>
          <w:szCs w:val="28"/>
        </w:rPr>
        <w:t>.</w:t>
      </w:r>
    </w:p>
    <w:p w14:paraId="49B8AD15" w14:textId="508D42F5" w:rsidR="00962800" w:rsidRPr="003D5FA9" w:rsidRDefault="00962800" w:rsidP="00962800">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Công tác phân công, theo dõi, giám sát nhiệm vụ trên hệ thống https://theodoinq.dcs.vn được duy trì thường xuyên, giúp nhiều bộ, ngành, địa phương đạt tỷ lệ hoàn thành trên 70% nhiệm vụ được giao.</w:t>
      </w:r>
    </w:p>
    <w:p w14:paraId="4CD4CE94" w14:textId="77777777" w:rsidR="00962800" w:rsidRPr="003D5FA9" w:rsidRDefault="00962800" w:rsidP="00962800">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Nhìn chung, năm 2025 ghi nhận bước chuyển biến rõ nét trong công tác thể chế hóa Nghị quyết số 57-NQ/TW, nhiều nhiệm vụ trọng tâm đã được hoàn thành, góp phần tạo nền tảng quan trọng cho việc triển khai các nhiệm vụ trong giai đoạn 2026–2030. Trong năm 2025, Chính phủ đã tập trung nguồn lực lớn cho công tác hoàn thiện thể chế, ban hành khối lượng lớn văn bản quy phạm pháp luật và cơ chế, chính sách có liên quan.</w:t>
      </w:r>
      <w:bookmarkStart w:id="0" w:name="_GoBack"/>
      <w:bookmarkEnd w:id="0"/>
    </w:p>
    <w:p w14:paraId="1B05D657" w14:textId="77777777" w:rsidR="00962800" w:rsidRPr="003D5FA9" w:rsidRDefault="00962800" w:rsidP="00962800">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Tuy nhiên, khối lượng nhiệm vụ được giao rất lớn, tính chất liên ngành, liên thông cao, trong khi một số hướng dẫn về cơ chế tài chính, quản lý và chia sẻ dữ liệu, phân cấp, phân quyền còn đang trong quá trình hoàn thiện; nguồn lực và nhân lực công nghệ thông tin, dữ liệu và chuyển đổi số tại cấp cơ sở còn hạn chế; một số cơ quan, đơn vị chưa thực sự chủ động trong phối hợp triển khai, chưa hình thành đầy đủ cơ chế theo dõi, giám sát và đánh giá kết quả đầu ra theo tiêu chí định lượng.</w:t>
      </w:r>
    </w:p>
    <w:p w14:paraId="3D875BC7" w14:textId="49FC8186" w:rsidR="00962800" w:rsidRPr="003D5FA9" w:rsidRDefault="00962800" w:rsidP="00962800">
      <w:pPr>
        <w:ind w:firstLine="720"/>
        <w:jc w:val="both"/>
        <w:rPr>
          <w:rFonts w:ascii="Times New Roman" w:hAnsi="Times New Roman" w:cs="Times New Roman"/>
        </w:rPr>
      </w:pPr>
      <w:r w:rsidRPr="003D5FA9">
        <w:rPr>
          <w:rFonts w:ascii="Times New Roman" w:hAnsi="Times New Roman" w:cs="Times New Roman"/>
          <w:sz w:val="28"/>
          <w:szCs w:val="28"/>
          <w:lang w:val="vi-VN"/>
        </w:rPr>
        <w:t xml:space="preserve">Do đó, trong thời gian tới, cần tiếp tục tăng cường công tác kiểm tra, giám sát, đôn đốc thực hiện, đồng thời gắn chặt trách nhiệm của người đứng đầu với tiến </w:t>
      </w:r>
      <w:r w:rsidRPr="003D5FA9">
        <w:rPr>
          <w:rFonts w:ascii="Times New Roman" w:hAnsi="Times New Roman" w:cs="Times New Roman"/>
          <w:sz w:val="28"/>
          <w:szCs w:val="28"/>
          <w:lang w:val="vi-VN"/>
        </w:rPr>
        <w:lastRenderedPageBreak/>
        <w:t>độ, chất lượng và hiệu quả thực chất của từng nhiệm vụ, nhằm bảo đảm việc triển khai Nghị quyết số 57-NQ/TW đạt kết quả bền vững, đồng bộ và đi vào chiều sâu</w:t>
      </w:r>
      <w:r w:rsidRPr="003D5FA9">
        <w:rPr>
          <w:rFonts w:ascii="Times New Roman" w:hAnsi="Times New Roman" w:cs="Times New Roman"/>
        </w:rPr>
        <w:t>.</w:t>
      </w:r>
    </w:p>
    <w:p w14:paraId="0AE19469" w14:textId="00560AC8" w:rsidR="00A06677" w:rsidRPr="003D5FA9" w:rsidRDefault="00C709B4" w:rsidP="00070B95">
      <w:pPr>
        <w:pStyle w:val="Heading2"/>
        <w:spacing w:before="120"/>
        <w:ind w:firstLine="720"/>
        <w:jc w:val="both"/>
        <w:rPr>
          <w:rFonts w:ascii="Times New Roman" w:hAnsi="Times New Roman" w:cs="Times New Roman"/>
          <w:color w:val="auto"/>
          <w:sz w:val="28"/>
          <w:szCs w:val="28"/>
        </w:rPr>
      </w:pPr>
      <w:r w:rsidRPr="003D5FA9">
        <w:rPr>
          <w:rFonts w:ascii="Times New Roman" w:hAnsi="Times New Roman" w:cs="Times New Roman"/>
          <w:color w:val="auto"/>
          <w:sz w:val="28"/>
          <w:szCs w:val="28"/>
        </w:rPr>
        <w:t>III</w:t>
      </w:r>
      <w:r w:rsidR="00D95E10" w:rsidRPr="003D5FA9">
        <w:rPr>
          <w:rFonts w:ascii="Times New Roman" w:hAnsi="Times New Roman" w:cs="Times New Roman"/>
          <w:color w:val="auto"/>
          <w:sz w:val="28"/>
          <w:szCs w:val="28"/>
        </w:rPr>
        <w:t xml:space="preserve">. </w:t>
      </w:r>
      <w:r w:rsidRPr="003D5FA9">
        <w:rPr>
          <w:rFonts w:ascii="Times New Roman" w:hAnsi="Times New Roman" w:cs="Times New Roman"/>
          <w:color w:val="auto"/>
          <w:sz w:val="28"/>
          <w:szCs w:val="28"/>
        </w:rPr>
        <w:t xml:space="preserve">CÔNG TÁC XÂY DỰNG, HOÀN THIỆN THỂ CHẾ, CƠ CHẾ, CHÍNH SÁCH </w:t>
      </w:r>
    </w:p>
    <w:p w14:paraId="39A127D9" w14:textId="77777777" w:rsidR="00255475" w:rsidRPr="003D5FA9" w:rsidRDefault="00255475" w:rsidP="00255475">
      <w:pPr>
        <w:spacing w:before="120" w:after="120"/>
        <w:ind w:firstLine="720"/>
        <w:jc w:val="both"/>
        <w:rPr>
          <w:rFonts w:ascii="Times New Roman" w:eastAsiaTheme="majorEastAsia" w:hAnsi="Times New Roman" w:cs="Times New Roman"/>
          <w:sz w:val="28"/>
          <w:szCs w:val="28"/>
        </w:rPr>
      </w:pPr>
      <w:r w:rsidRPr="003D5FA9">
        <w:rPr>
          <w:rFonts w:ascii="Times New Roman" w:eastAsiaTheme="majorEastAsia" w:hAnsi="Times New Roman" w:cs="Times New Roman"/>
          <w:sz w:val="28"/>
          <w:szCs w:val="28"/>
        </w:rPr>
        <w:t>Ngày 19/02/2025, Chính phủ đã trình Quốc hội ban hành Nghị quyết số 193/2025/QH15 về thí điểm một số cơ chế, chính sách đặc biệt tạo đột phá phát triển khoa học, công nghệ, đổi mới sáng tạo và chuyển đổi số quốc gia. Nghị quyết được ban hành nhằm tháo gỡ ngay những điểm nghẽn, lựa chọn để thí điểm một số nội dung về thế chế vượt trội có kiếm soát trong giai đoạn 2025-2030, tạo sự bứt phá về phát triển khoa học, công nghệ, đổi mới sáng tạo, hạ tầng số, chuyển đổi số, phát triển công nghiệp công nghệ số, dần hiện thực hóa việc làm chủ các công nghệ số chiến lược.</w:t>
      </w:r>
    </w:p>
    <w:p w14:paraId="073EF04D" w14:textId="13ACD60F" w:rsidR="00255475" w:rsidRPr="003D5FA9" w:rsidRDefault="00255475" w:rsidP="00B75F7A">
      <w:pPr>
        <w:spacing w:before="120" w:after="120"/>
        <w:ind w:firstLine="720"/>
        <w:jc w:val="both"/>
        <w:rPr>
          <w:rFonts w:ascii="Times New Roman" w:eastAsiaTheme="majorEastAsia" w:hAnsi="Times New Roman" w:cs="Times New Roman"/>
          <w:sz w:val="28"/>
          <w:szCs w:val="28"/>
        </w:rPr>
      </w:pPr>
      <w:r w:rsidRPr="003D5FA9">
        <w:rPr>
          <w:rFonts w:ascii="Times New Roman" w:eastAsiaTheme="majorEastAsia" w:hAnsi="Times New Roman" w:cs="Times New Roman"/>
          <w:sz w:val="28"/>
          <w:szCs w:val="28"/>
        </w:rPr>
        <w:t>Nghị quyết đã tập trung tháo gỡ điểm nghẽn về cơ chế tài chính thông qua việc: giao quyền tự chủ trong sử dụng kinh phí nghiên cứu; chấp nhận rủi ro trong nghiên cứu khoa học, tổ chức, cá nhân nghiên cứu khoa học được miễn trách nhiệm dân sự và không phải trả lại kinh phí nếu nghiên cứu không đi đến kết quả như dự kiến; cho phép nhà nước cấp tiền cho nghiên cứu thông qua cơ chế quỹ.</w:t>
      </w:r>
      <w:r w:rsidR="00B75F7A" w:rsidRPr="003D5FA9">
        <w:rPr>
          <w:rFonts w:ascii="Times New Roman" w:eastAsiaTheme="majorEastAsia" w:hAnsi="Times New Roman" w:cs="Times New Roman"/>
          <w:sz w:val="28"/>
          <w:szCs w:val="28"/>
        </w:rPr>
        <w:t xml:space="preserve"> Đ</w:t>
      </w:r>
      <w:r w:rsidRPr="003D5FA9">
        <w:rPr>
          <w:rFonts w:ascii="Times New Roman" w:eastAsiaTheme="majorEastAsia" w:hAnsi="Times New Roman" w:cs="Times New Roman"/>
          <w:sz w:val="28"/>
          <w:szCs w:val="28"/>
        </w:rPr>
        <w:t>ể thúc đẩy thương mại hoá các kết quả nghiên cứu, Nghị quyết thí điểm việc cho phép sở hữu tài sản trang bị và sở hữu hoặc quản lý, sử dụng kết quả thực hiện nhiệm vụ khoa học và công nghệ để chủ động việc thương mại hoá ngay sau khi hoàn thành việc nghiên cứu; thí điểm việc cho phép các khoản tài trợ, khoản chi của doanh nghiệp cho khoa học và công nghệ được tính là chi phí hợp lệ, được khấu trừ khi tính thuế thu nhập doanh nghiệp.</w:t>
      </w:r>
    </w:p>
    <w:p w14:paraId="483686CF" w14:textId="77777777" w:rsidR="00445895" w:rsidRPr="003D5FA9" w:rsidRDefault="00445895" w:rsidP="00445895">
      <w:pPr>
        <w:spacing w:before="120" w:after="120"/>
        <w:ind w:firstLine="720"/>
        <w:jc w:val="both"/>
        <w:rPr>
          <w:rFonts w:ascii="Times New Roman" w:eastAsiaTheme="majorEastAsia" w:hAnsi="Times New Roman" w:cs="Times New Roman"/>
          <w:sz w:val="28"/>
          <w:szCs w:val="28"/>
        </w:rPr>
      </w:pPr>
      <w:r w:rsidRPr="003D5FA9">
        <w:rPr>
          <w:rFonts w:ascii="Times New Roman" w:eastAsiaTheme="majorEastAsia" w:hAnsi="Times New Roman" w:cs="Times New Roman"/>
          <w:sz w:val="28"/>
          <w:szCs w:val="28"/>
        </w:rPr>
        <w:t>Bên cạnh đó, Chính phủ đã ban hành Nghị quyết số 03/NQ-CP và Nghị quyết số 71/NQ-CP về Chương trình hành động thực hiện Nghị quyết số 57-NQ/TW của Bộ Chính trị. Trong năm, Chính phủ đã trình Quốc hội thông qua 28 Luật liên quan trực tiếp đến phát triển khoa học, công nghệ, đổi mới sáng tạo và chuyển đổi số, bao gồm các luật nền tảng và luật sửa đổi, bổ sung trong các lĩnh vực: khoa học và công nghệ, đổi mới sáng tạo, công nghiệp công nghệ số, chuyển đổi số, công nghệ cao, trí tuệ nhân tạo, sở hữu trí tuệ, chuyển giao công nghệ, năng lượng nguyên tử, tiêu chuẩn – quy chuẩn kỹ thuật, chất lượng sản phẩm hàng hóa, thuế, đầu tư, đấu thầu, ngân sách nhà nước, doanh nghiệp và quản lý tài sản công.</w:t>
      </w:r>
    </w:p>
    <w:p w14:paraId="1E7DCD74" w14:textId="77777777" w:rsidR="00445895" w:rsidRPr="003D5FA9" w:rsidRDefault="00445895" w:rsidP="00445895">
      <w:pPr>
        <w:spacing w:before="120" w:after="120"/>
        <w:ind w:firstLine="720"/>
        <w:jc w:val="both"/>
        <w:rPr>
          <w:rFonts w:ascii="Times New Roman" w:eastAsiaTheme="majorEastAsia" w:hAnsi="Times New Roman" w:cs="Times New Roman"/>
          <w:sz w:val="28"/>
          <w:szCs w:val="28"/>
        </w:rPr>
      </w:pPr>
      <w:r w:rsidRPr="003D5FA9">
        <w:rPr>
          <w:rFonts w:ascii="Times New Roman" w:eastAsiaTheme="majorEastAsia" w:hAnsi="Times New Roman" w:cs="Times New Roman"/>
          <w:sz w:val="28"/>
          <w:szCs w:val="28"/>
        </w:rPr>
        <w:t xml:space="preserve">Về văn bản dưới luật, Chính phủ đã ban hành 28 Nghị định về phân cấp, phân quyền, phân định thẩm quyền chính quyền địa phương 02 cấp và 31 Nghị định quy định chi tiết thi hành các luật liên quan đến KHCN, ĐMST, CĐS, CCHC nhằm tháo gỡ điểm nghẽn, hoàn thiện khung pháp lý cho dữ liệu, giao dịch điện tử, chữ ký số, thủ tục hành chính, quản lý thuế trên nền tảng số, hợp tác công tư, đấu thầu, </w:t>
      </w:r>
      <w:r w:rsidRPr="003D5FA9">
        <w:rPr>
          <w:rFonts w:ascii="Times New Roman" w:eastAsiaTheme="majorEastAsia" w:hAnsi="Times New Roman" w:cs="Times New Roman"/>
          <w:sz w:val="28"/>
          <w:szCs w:val="28"/>
        </w:rPr>
        <w:lastRenderedPageBreak/>
        <w:t>đầu tư theo phương thức PPP, thu hút nhân lực chất lượng cao, miễn thị thực cho chuyên gia, nhà khoa học, cơ chế thương mại hóa kết quả nghiên cứu và phát triển công nghiệp công nghệ số. Các văn bản này đã tạo lập hành lang pháp lý tương đối đầy đủ, thống nhất và kịp thời cho triển khai các nhiệm vụ về khoa học, công nghệ, đổi mới sáng tạo và chuyển đổi số trên phạm vi toàn quốc.</w:t>
      </w:r>
    </w:p>
    <w:p w14:paraId="7D7A9954" w14:textId="52EE63F7" w:rsidR="00C709B4" w:rsidRPr="003D5FA9" w:rsidRDefault="00070B95" w:rsidP="00445895">
      <w:pPr>
        <w:spacing w:before="120" w:after="120"/>
        <w:ind w:firstLine="720"/>
        <w:rPr>
          <w:rFonts w:ascii="Times New Roman" w:hAnsi="Times New Roman" w:cs="Times New Roman"/>
          <w:b/>
          <w:bCs/>
          <w:sz w:val="28"/>
          <w:szCs w:val="28"/>
        </w:rPr>
      </w:pPr>
      <w:r w:rsidRPr="003D5FA9">
        <w:rPr>
          <w:rFonts w:ascii="Times New Roman" w:hAnsi="Times New Roman" w:cs="Times New Roman"/>
          <w:b/>
          <w:bCs/>
          <w:sz w:val="28"/>
          <w:szCs w:val="28"/>
        </w:rPr>
        <w:t xml:space="preserve">IV. </w:t>
      </w:r>
      <w:r w:rsidR="006F35AC" w:rsidRPr="003D5FA9">
        <w:rPr>
          <w:rFonts w:ascii="Times New Roman" w:hAnsi="Times New Roman" w:cs="Times New Roman"/>
          <w:b/>
          <w:bCs/>
          <w:sz w:val="28"/>
          <w:szCs w:val="28"/>
          <w:lang w:val="vi-VN"/>
        </w:rPr>
        <w:t xml:space="preserve">KHOA </w:t>
      </w:r>
      <w:r w:rsidR="00C709B4" w:rsidRPr="003D5FA9">
        <w:rPr>
          <w:rFonts w:ascii="Times New Roman" w:hAnsi="Times New Roman" w:cs="Times New Roman"/>
          <w:b/>
          <w:bCs/>
          <w:sz w:val="28"/>
          <w:szCs w:val="28"/>
        </w:rPr>
        <w:t>HỌC, CÔNG NGHỆ, ĐỔI MỚI SÁNG TẠO VÀ CHUYỂN ĐỔI SỐ</w:t>
      </w:r>
    </w:p>
    <w:p w14:paraId="78ED40C3" w14:textId="15989330" w:rsidR="007A17C4" w:rsidRPr="003D5FA9" w:rsidRDefault="00C709B4" w:rsidP="000E786A">
      <w:pPr>
        <w:pStyle w:val="Heading2"/>
        <w:spacing w:before="120"/>
        <w:ind w:firstLine="720"/>
        <w:jc w:val="both"/>
        <w:rPr>
          <w:rFonts w:ascii="Times New Roman" w:hAnsi="Times New Roman" w:cs="Times New Roman"/>
          <w:color w:val="auto"/>
          <w:sz w:val="28"/>
          <w:szCs w:val="28"/>
        </w:rPr>
      </w:pPr>
      <w:r w:rsidRPr="003D5FA9">
        <w:rPr>
          <w:rFonts w:ascii="Times New Roman" w:hAnsi="Times New Roman" w:cs="Times New Roman"/>
          <w:color w:val="auto"/>
          <w:sz w:val="28"/>
          <w:szCs w:val="28"/>
        </w:rPr>
        <w:t>1</w:t>
      </w:r>
      <w:r w:rsidR="00106672" w:rsidRPr="003D5FA9">
        <w:rPr>
          <w:rFonts w:ascii="Times New Roman" w:hAnsi="Times New Roman" w:cs="Times New Roman"/>
          <w:color w:val="auto"/>
          <w:sz w:val="28"/>
          <w:szCs w:val="28"/>
        </w:rPr>
        <w:t>. Phát triển KH,CN, ĐMST</w:t>
      </w:r>
    </w:p>
    <w:p w14:paraId="27C880C0" w14:textId="77777777" w:rsidR="00A05181" w:rsidRPr="003D5FA9" w:rsidRDefault="00C709B4" w:rsidP="00734F8A">
      <w:pPr>
        <w:ind w:firstLine="720"/>
        <w:rPr>
          <w:rFonts w:ascii="Times New Roman" w:hAnsi="Times New Roman" w:cs="Times New Roman"/>
          <w:i/>
          <w:iCs/>
          <w:sz w:val="28"/>
          <w:szCs w:val="28"/>
        </w:rPr>
      </w:pPr>
      <w:r w:rsidRPr="003D5FA9">
        <w:rPr>
          <w:rFonts w:ascii="Times New Roman" w:hAnsi="Times New Roman" w:cs="Times New Roman"/>
          <w:i/>
          <w:iCs/>
          <w:sz w:val="28"/>
          <w:szCs w:val="28"/>
        </w:rPr>
        <w:t>1</w:t>
      </w:r>
      <w:r w:rsidR="00734F8A" w:rsidRPr="003D5FA9">
        <w:rPr>
          <w:rFonts w:ascii="Times New Roman" w:hAnsi="Times New Roman" w:cs="Times New Roman"/>
          <w:i/>
          <w:iCs/>
          <w:sz w:val="28"/>
          <w:szCs w:val="28"/>
        </w:rPr>
        <w:t>.1.  Triển khai công nghệ chiến lược và sản phẩm ưu tiên</w:t>
      </w:r>
    </w:p>
    <w:p w14:paraId="5522FB15" w14:textId="712FF1B4" w:rsidR="00B05CA9" w:rsidRPr="003D5FA9" w:rsidRDefault="00B05CA9" w:rsidP="00B05CA9">
      <w:pPr>
        <w:ind w:firstLine="720"/>
        <w:jc w:val="both"/>
        <w:rPr>
          <w:rFonts w:ascii="Times New Roman" w:hAnsi="Times New Roman" w:cs="Times New Roman"/>
          <w:sz w:val="28"/>
          <w:szCs w:val="28"/>
        </w:rPr>
      </w:pPr>
      <w:r w:rsidRPr="003D5FA9">
        <w:rPr>
          <w:rFonts w:ascii="Times New Roman" w:hAnsi="Times New Roman" w:cs="Times New Roman"/>
          <w:sz w:val="28"/>
          <w:szCs w:val="28"/>
        </w:rPr>
        <w:t>Thực hiện Nghị quyết số 57-NQ/TW và Nghị quyết số 71/NQ-CP, trong năm 2025, Chính phủ đã tập trung chỉ đạo triển khai các công nghệ chiến lược và sản phẩm công nghệ ưu tiên, tạo nền tảng quan trọng cho việc nâng cao năng lực tự chủ công nghệ quốc gia.</w:t>
      </w:r>
    </w:p>
    <w:p w14:paraId="31DDFBCC" w14:textId="77777777" w:rsidR="005249D3" w:rsidRPr="003D5FA9" w:rsidRDefault="005249D3" w:rsidP="005249D3">
      <w:pPr>
        <w:ind w:firstLine="720"/>
        <w:jc w:val="both"/>
        <w:rPr>
          <w:rFonts w:ascii="Times New Roman" w:hAnsi="Times New Roman" w:cs="Times New Roman"/>
          <w:sz w:val="28"/>
          <w:szCs w:val="28"/>
        </w:rPr>
      </w:pPr>
      <w:r w:rsidRPr="003D5FA9">
        <w:rPr>
          <w:rFonts w:ascii="Times New Roman" w:hAnsi="Times New Roman" w:cs="Times New Roman"/>
          <w:sz w:val="28"/>
          <w:szCs w:val="28"/>
        </w:rPr>
        <w:t>- Về hoàn thiện thể chế</w:t>
      </w:r>
    </w:p>
    <w:p w14:paraId="2C118C90" w14:textId="6727B356" w:rsidR="005249D3" w:rsidRPr="003D5FA9" w:rsidRDefault="005249D3" w:rsidP="005249D3">
      <w:pPr>
        <w:ind w:firstLine="720"/>
        <w:jc w:val="both"/>
        <w:rPr>
          <w:rFonts w:ascii="Times New Roman" w:hAnsi="Times New Roman" w:cs="Times New Roman"/>
          <w:sz w:val="28"/>
          <w:szCs w:val="28"/>
        </w:rPr>
      </w:pPr>
      <w:r w:rsidRPr="003D5FA9">
        <w:rPr>
          <w:rFonts w:ascii="Times New Roman" w:hAnsi="Times New Roman" w:cs="Times New Roman"/>
          <w:sz w:val="28"/>
          <w:szCs w:val="28"/>
        </w:rPr>
        <w:t>Quốc hội đã thông qua Luật Khoa học, công nghệ và đổi mới sáng tạo. Trong đó lần đầu tiên xác lập khái niệm pháp lý về công nghệ chiến lược, làm cơ sở để ban hành danh mục và hệ thống chính sách ưu tiên phát triển. Luật cũng khẳng định chủ trương dành nguồn lực ổn định từ ngân sách nhà nước để triển khai các chương trình phát triển công nghệ chiến lược.</w:t>
      </w:r>
    </w:p>
    <w:p w14:paraId="384A46C8" w14:textId="014C4CB7" w:rsidR="005249D3" w:rsidRPr="003D5FA9" w:rsidRDefault="005249D3" w:rsidP="005249D3">
      <w:pPr>
        <w:ind w:firstLine="720"/>
        <w:jc w:val="both"/>
        <w:rPr>
          <w:rFonts w:ascii="Times New Roman" w:hAnsi="Times New Roman" w:cs="Times New Roman"/>
          <w:spacing w:val="-2"/>
          <w:sz w:val="28"/>
          <w:szCs w:val="28"/>
        </w:rPr>
      </w:pPr>
      <w:r w:rsidRPr="003D5FA9">
        <w:rPr>
          <w:rFonts w:ascii="Times New Roman" w:hAnsi="Times New Roman" w:cs="Times New Roman"/>
          <w:spacing w:val="-2"/>
          <w:sz w:val="28"/>
          <w:szCs w:val="28"/>
        </w:rPr>
        <w:t>Về chính sách triển khai, Luật cho phép hình thành nhiệm vụ đặc biệt và chương trình đặc biệt phục vụ công nghệ chiến lược do Thủ tướng Chính phủ quyết định, đồng thời áp dụng cơ chế quản lý linh hoạt như đặt hàng theo kết quả, khoán chi theo sản phẩm đầu ra và hỗ trợ theo gói để bảo đảm quyền chủ động cho tổ chức chủ trì. Cơ chế tài chính được thiết kế theo hướng cho phép chấp nhận rủi ro có kiểm soát, phù hợp với đặc thù của các hoạt động nghiên cứu, phát triển công nghệ mới.</w:t>
      </w:r>
    </w:p>
    <w:p w14:paraId="148A31AA" w14:textId="10E6CCD2" w:rsidR="005249D3" w:rsidRPr="003D5FA9" w:rsidRDefault="005249D3" w:rsidP="005249D3">
      <w:pPr>
        <w:ind w:firstLine="720"/>
        <w:jc w:val="both"/>
        <w:rPr>
          <w:rFonts w:ascii="Times New Roman" w:hAnsi="Times New Roman" w:cs="Times New Roman"/>
          <w:sz w:val="28"/>
          <w:szCs w:val="28"/>
        </w:rPr>
      </w:pPr>
      <w:r w:rsidRPr="003D5FA9">
        <w:rPr>
          <w:rFonts w:ascii="Times New Roman" w:hAnsi="Times New Roman" w:cs="Times New Roman"/>
          <w:sz w:val="28"/>
          <w:szCs w:val="28"/>
        </w:rPr>
        <w:t>Luật cũng quy định rõ cơ chế giải mã và mua công nghệ chiến lược, cho phép sử dụng ngân sách để mua trực tiếp công nghệ, thuê chuyên gia trong và ngoài nước với chi phí thỏa thuận, không bị ràng buộc bởi thủ tục về tài sản công.</w:t>
      </w:r>
    </w:p>
    <w:p w14:paraId="149FF36B" w14:textId="2F0305AD" w:rsidR="005249D3" w:rsidRPr="003D5FA9" w:rsidRDefault="005249D3" w:rsidP="005249D3">
      <w:pPr>
        <w:ind w:firstLine="720"/>
        <w:jc w:val="both"/>
        <w:rPr>
          <w:rFonts w:ascii="Times New Roman" w:hAnsi="Times New Roman" w:cs="Times New Roman"/>
          <w:sz w:val="28"/>
          <w:szCs w:val="28"/>
        </w:rPr>
      </w:pPr>
      <w:r w:rsidRPr="003D5FA9">
        <w:rPr>
          <w:rFonts w:ascii="Times New Roman" w:hAnsi="Times New Roman" w:cs="Times New Roman"/>
          <w:sz w:val="28"/>
          <w:szCs w:val="28"/>
        </w:rPr>
        <w:t>Luật thiết lập mô hình tổng công trình sư, cá nhân có uy tín, năng lực vượt trội, được trao toàn quyền về kỹ thuật, nhân lực và tài chính để điều phối, tổ chức thực hiện nhiệm vụ công nghệ chiến lược. Cùng với đó là cơ chế thu hút, đãi ngộ đặc biệt đối với nhân tài, và ưu tiên giao nhiệm vụ cho tổ chức có khả năng huy động và sử dụng hiệu quả đội ngũ chuyên gia trình độ cao.</w:t>
      </w:r>
    </w:p>
    <w:p w14:paraId="574A0D3C" w14:textId="604AC20B" w:rsidR="005249D3" w:rsidRPr="003D5FA9" w:rsidRDefault="005249D3" w:rsidP="005249D3">
      <w:pPr>
        <w:ind w:firstLine="720"/>
        <w:jc w:val="both"/>
        <w:rPr>
          <w:rFonts w:ascii="Times New Roman" w:hAnsi="Times New Roman" w:cs="Times New Roman"/>
          <w:spacing w:val="-2"/>
          <w:sz w:val="28"/>
          <w:szCs w:val="28"/>
        </w:rPr>
      </w:pPr>
      <w:r w:rsidRPr="003D5FA9">
        <w:rPr>
          <w:rFonts w:ascii="Times New Roman" w:hAnsi="Times New Roman" w:cs="Times New Roman"/>
          <w:spacing w:val="-2"/>
          <w:sz w:val="28"/>
          <w:szCs w:val="28"/>
        </w:rPr>
        <w:lastRenderedPageBreak/>
        <w:t>Về hạ tầng, Luật quy định đầu tư có trọng điểm cho các phòng thí nghiệm trọng điểm, trung tâm nghiên cứu và khu thử nghiệm phục vụ công nghệ chiến lược, với mô hình mở, dùng chung và gắn kết chặt chẽ với doanh nghiệp. Sản phẩm công nghệ chiến lược được ưu tiên trong mua sắm công; các chi phí thử nghiệm, kiểm định, chứng nhận chất lượng được nhà nước hỗ trợ; doanh nghiệp được sử dụng quỹ phát triển khoa học và công nghệ để đầu tư, mua công nghệ, hoặc sáp nhập tổ chức nghiên cứu trong và ngoài nước phục vụ mục tiêu phát triển công nghệ chiến lược.</w:t>
      </w:r>
    </w:p>
    <w:p w14:paraId="355EFBCC" w14:textId="54266703" w:rsidR="005249D3" w:rsidRPr="003D5FA9" w:rsidRDefault="005249D3" w:rsidP="005249D3">
      <w:pPr>
        <w:ind w:firstLine="720"/>
        <w:jc w:val="both"/>
        <w:rPr>
          <w:rFonts w:ascii="Times New Roman" w:hAnsi="Times New Roman" w:cs="Times New Roman"/>
          <w:sz w:val="28"/>
          <w:szCs w:val="28"/>
        </w:rPr>
      </w:pPr>
      <w:r w:rsidRPr="003D5FA9">
        <w:rPr>
          <w:rFonts w:ascii="Times New Roman" w:hAnsi="Times New Roman" w:cs="Times New Roman"/>
          <w:sz w:val="28"/>
          <w:szCs w:val="28"/>
        </w:rPr>
        <w:t>Chính phủ đã trình Quốc hội dự án Luật Công nghệ cao (sửa đổi) (Dự kiến thông qua ngày 10/12/2025). Luật đã thể chế hóa các quy định để thúc đẩy phát triển công nghiệp chiến lược như: (1) Được xét giao trực tiếp thực hiện nhiệm vụ khoa học, công nghệ và đổi mới sáng tạo từ chương trình khoa học, công nghệ và đổi mới sáng tạo quốc gia đặc biệt về công nghệ chiến lược, các quỹ theo pháp luật về khoa học, công nghệ và đổi mới sáng tạo; (2) Được hưởng cơ chế đặc biệt trong giải mã công nghệ, mua bí quyết công nghệ quy định tại Điều 31 Luật Khoa học, công nghệ và đổi mới sáng tạo; (3) Hỗ trợ bảo hộ, khai thác, thương mại hóa quyền sở hữu trí tuệ đối với công nghệ chiến lược; (4) Hỗ trợ thành lập và vận hành phòng thí nghiệm dùng chung phục vụ nghiên cứu và phát triển công nghệ chiến lược; (5) Hỗ trợ đào tạo nhân lực, nghiên cứu và phát triển, sản xuất thử nghiệm từ kinh phí của chương trình khoa học, công nghệ và đổi mới sáng tạo quốc gia đặc biệt về công nghệ chiến lược và kinh phí khác có nguồn gốc từ ngân sách nhà nước. Ngoài ra, luật cũng quy định loại hình doanh nghiệp công nghệ chiến lược là loại hình được ưu đãi đặc biệt.</w:t>
      </w:r>
    </w:p>
    <w:p w14:paraId="213BD85F" w14:textId="41974EB5" w:rsidR="00021F67" w:rsidRPr="003D5FA9" w:rsidRDefault="00FC64F7" w:rsidP="008D1B81">
      <w:pPr>
        <w:ind w:firstLine="720"/>
        <w:jc w:val="both"/>
        <w:rPr>
          <w:rFonts w:ascii="Times New Roman" w:hAnsi="Times New Roman" w:cs="Times New Roman"/>
          <w:sz w:val="28"/>
          <w:szCs w:val="28"/>
        </w:rPr>
      </w:pPr>
      <w:r w:rsidRPr="003D5FA9">
        <w:rPr>
          <w:rFonts w:ascii="Times New Roman" w:hAnsi="Times New Roman" w:cs="Times New Roman"/>
          <w:sz w:val="28"/>
          <w:szCs w:val="28"/>
        </w:rPr>
        <w:t>Chính phủ đã chỉ đạo các Bộ, ngành tập trung nguồn lực để hoàn thiện hành lang pháp lý và định hình rõ nét các nhóm công nghệ lõi cần ưu tiên phát triển, tạo nên sức mạnh tổng hợp từ dân sự, kinh tế đến quốc phòng, an ninh. Cụ thể, Thủ tướng Chính phủ đã ban hành Danh mục 11 nhóm công nghệ chiến lược và 35 nhóm sản phẩm công nghệ chiến lược theo Quyết định số 1131/QĐ-TTg ngày 12/6/2025, làm căn cứ then chốt để phân bổ nguồn lực đầu tư quốc gia. Trước sự phát triển nhanh chóng của công nghệ, Chính phủ đã kịp thời chấp thuận bổ sung "công nghệ và thiết bị thông minh xử lý AI tại biên (Edge AI)" vào danh mục này. Trên cơ sở đó, 06 nhóm sản phẩm trọng điểm có tác động lan tỏa lớn đã được lựa chọn để triển khai ngay, bao gồm Mô hình ngôn ngữ lớn và Trợ lý ảo tiếng Việt, AI Camera xử lý tại biên, Robot di động tự hành (AMR), Hệ thống thiết bị mạng 5G, Hạ tầng mạng blockchain và Thiết bị bay không người lái (UAV)</w:t>
      </w:r>
      <w:r w:rsidRPr="003D5FA9">
        <w:rPr>
          <w:rFonts w:ascii="Times New Roman" w:hAnsi="Times New Roman" w:cs="Times New Roman"/>
          <w:sz w:val="28"/>
          <w:szCs w:val="28"/>
          <w:lang w:val="vi-VN"/>
        </w:rPr>
        <w:t>.</w:t>
      </w:r>
    </w:p>
    <w:p w14:paraId="62AC59AD" w14:textId="77777777" w:rsidR="00663DDD" w:rsidRPr="003D5FA9" w:rsidRDefault="00663DDD" w:rsidP="00663DDD">
      <w:pPr>
        <w:ind w:firstLine="720"/>
        <w:jc w:val="both"/>
        <w:rPr>
          <w:rFonts w:ascii="Times New Roman" w:hAnsi="Times New Roman" w:cs="Times New Roman"/>
          <w:spacing w:val="-2"/>
          <w:sz w:val="28"/>
          <w:szCs w:val="28"/>
        </w:rPr>
      </w:pPr>
      <w:r w:rsidRPr="003D5FA9">
        <w:rPr>
          <w:rFonts w:ascii="Times New Roman" w:hAnsi="Times New Roman" w:cs="Times New Roman"/>
          <w:spacing w:val="-2"/>
          <w:sz w:val="28"/>
          <w:szCs w:val="28"/>
        </w:rPr>
        <w:t xml:space="preserve">Các chương trình này giúp Việt Nam: Tiếp cận và làm chủ công nghệ lõi trong AI, viễn thông, robot, blockchain; Tăng tỷ lệ nội địa hóa, đặc biệt trong thiết bị ICT, cảm biến, bán dẫn ở mức thiết kế – phần mềm; Phát triển hệ sinh thái doanh nghiệp </w:t>
      </w:r>
      <w:r w:rsidRPr="003D5FA9">
        <w:rPr>
          <w:rFonts w:ascii="Times New Roman" w:hAnsi="Times New Roman" w:cs="Times New Roman"/>
          <w:spacing w:val="-2"/>
          <w:sz w:val="28"/>
          <w:szCs w:val="28"/>
        </w:rPr>
        <w:lastRenderedPageBreak/>
        <w:t>công nghệ, thúc đẩy sản xuất thiết bị Make in Vietnam; Hình thành hệ sinh thái công nghệ chiến lược, gắn với trường đại học, viện nghiên cứu, doanh nghiệp lớn.</w:t>
      </w:r>
    </w:p>
    <w:p w14:paraId="08F9214F" w14:textId="1A5619FB" w:rsidR="00663DDD" w:rsidRPr="003D5FA9" w:rsidRDefault="00663DDD" w:rsidP="00663DDD">
      <w:pPr>
        <w:ind w:firstLine="720"/>
        <w:jc w:val="both"/>
        <w:rPr>
          <w:rFonts w:ascii="Times New Roman" w:hAnsi="Times New Roman" w:cs="Times New Roman"/>
          <w:sz w:val="28"/>
          <w:szCs w:val="28"/>
        </w:rPr>
      </w:pPr>
      <w:r w:rsidRPr="003D5FA9">
        <w:rPr>
          <w:rFonts w:ascii="Times New Roman" w:hAnsi="Times New Roman" w:cs="Times New Roman"/>
          <w:sz w:val="28"/>
          <w:szCs w:val="28"/>
        </w:rPr>
        <w:t>Một số nhiệm vụ đã được triển khai thí điểm: Phát triển mô hình nền tảng tiếng Việt, ứng dụng trong dịch vụ công và trợ lý ảo; Thử nghiệm AI camera xử lý tại biên trong giám sát giao thông, an ninh đô thị; Các doanh nghiệp viễn thông hoàn thiện nguyên mẫu thiết bị 5G, tiến tới sản xuất hàng loạt; UAV nội địa được thử nghiệm trong nông nghiệp và logistics.</w:t>
      </w:r>
    </w:p>
    <w:p w14:paraId="587F96E9" w14:textId="0F430CFE" w:rsidR="00663DDD" w:rsidRPr="003D5FA9" w:rsidRDefault="00663DDD" w:rsidP="00663DDD">
      <w:pPr>
        <w:ind w:firstLine="720"/>
        <w:jc w:val="both"/>
        <w:rPr>
          <w:rFonts w:ascii="Times New Roman" w:hAnsi="Times New Roman" w:cs="Times New Roman"/>
          <w:sz w:val="28"/>
          <w:szCs w:val="28"/>
        </w:rPr>
      </w:pPr>
      <w:r w:rsidRPr="003D5FA9">
        <w:rPr>
          <w:rFonts w:ascii="Times New Roman" w:hAnsi="Times New Roman" w:cs="Times New Roman"/>
          <w:sz w:val="28"/>
          <w:szCs w:val="28"/>
        </w:rPr>
        <w:t>Đây là lần đầu tiên Việt Nam có danh mục công nghệ lõi mang tính chiến lược quốc gia, cùng các sản phẩm chủ lực ưu tiên triển khai cấp Chính phủ - tạo nền tảng để nâng cao tiềm lực tự chủ công nghệ và sức cạnh tranh quốc gia. i ngay</w:t>
      </w:r>
    </w:p>
    <w:p w14:paraId="31CD3FDD" w14:textId="2DAADF3E" w:rsidR="00663DDD" w:rsidRPr="003D5FA9" w:rsidRDefault="00663DDD" w:rsidP="00663DDD">
      <w:pPr>
        <w:ind w:firstLine="720"/>
        <w:jc w:val="both"/>
        <w:rPr>
          <w:rFonts w:ascii="Times New Roman" w:hAnsi="Times New Roman" w:cs="Times New Roman"/>
          <w:sz w:val="28"/>
          <w:szCs w:val="28"/>
        </w:rPr>
      </w:pPr>
      <w:r w:rsidRPr="003D5FA9">
        <w:rPr>
          <w:rFonts w:ascii="Times New Roman" w:hAnsi="Times New Roman" w:cs="Times New Roman"/>
          <w:sz w:val="28"/>
          <w:szCs w:val="28"/>
        </w:rPr>
        <w:t>Ngoài ra, Thủ tướng Chính phủ đã có văn bản số 11209/VPCP-KGVX ngày 15/11/2025 chấp thuận đề xuất của Bộ KH&amp;CN và giao Bộ trưởng Bộ KH&amp;CN thừa ủy quyền của Thủ tướng Chính phủ ký văn bản bổ sung “công nghệ và thiết bị thông minh xử lý AI tại biên (edge AI)” vào danh mục công nghệ chiến lược và sản phẩm công nghệ chiến lược tại Quyết định số 1131/QĐ-TTg ngày 12/6/2025.</w:t>
      </w:r>
    </w:p>
    <w:p w14:paraId="2A17C53F" w14:textId="7F9C63BA" w:rsidR="00663DDD" w:rsidRPr="003D5FA9" w:rsidRDefault="00663DDD" w:rsidP="00663DDD">
      <w:pPr>
        <w:ind w:firstLine="720"/>
        <w:jc w:val="both"/>
        <w:rPr>
          <w:rFonts w:ascii="Times New Roman" w:hAnsi="Times New Roman" w:cs="Times New Roman"/>
          <w:sz w:val="28"/>
          <w:szCs w:val="28"/>
        </w:rPr>
      </w:pPr>
      <w:r w:rsidRPr="003D5FA9">
        <w:rPr>
          <w:rFonts w:ascii="Times New Roman" w:hAnsi="Times New Roman" w:cs="Times New Roman"/>
          <w:sz w:val="28"/>
          <w:szCs w:val="28"/>
        </w:rPr>
        <w:t>- Về phát triển hệ thống các trung tâm nghiên cứu, thử nghiệm, các phòng thí nghiệm quốc gia, tập trung cho công nghệ chiến lược</w:t>
      </w:r>
    </w:p>
    <w:p w14:paraId="0B67CE82" w14:textId="432BBA71" w:rsidR="00663DDD" w:rsidRPr="003D5FA9" w:rsidRDefault="00663DDD" w:rsidP="00663DDD">
      <w:pPr>
        <w:ind w:firstLine="720"/>
        <w:jc w:val="both"/>
        <w:rPr>
          <w:rFonts w:ascii="Times New Roman" w:hAnsi="Times New Roman" w:cs="Times New Roman"/>
          <w:sz w:val="28"/>
          <w:szCs w:val="28"/>
        </w:rPr>
      </w:pPr>
      <w:r w:rsidRPr="003D5FA9">
        <w:rPr>
          <w:rFonts w:ascii="Times New Roman" w:hAnsi="Times New Roman" w:cs="Times New Roman"/>
          <w:sz w:val="28"/>
          <w:szCs w:val="28"/>
        </w:rPr>
        <w:t>Để chuẩn bị điều kiện hạ tầng phục vụ triển khai công nghệ chiến lược, Bộ KH&amp;CN đang triển khai xây dựng đề án “Phát triển hệ thống các trung tâm nghiên cứu, thử nghiệm, các phòng thí nghiệm quốc gia, tập trung cho công nghệ chiến lược”. Hiện tại, đề án đang được gửi lấy ý kiến các bộ, ngành và cơ quan liên quan về nhu cầu phát triển hệ thống phòng thí nghiệm trọng điểm trong từng lĩnh vực công nghệ ưu tiên. Trên cơ sở tổng hợp ý kiến và đánh giá hiện trạng, Bộ sẽ xây dựng phương án tổng thể phát triển hệ thống trung tâm nghiên cứu, thử nghiệm và mạng lưới phòng thí nghiệm trọng điểm quốc gia theo hướng tập trung, đồng bộ, hiện đại, đạt tiêu chuẩn quốc tế, có khả năng thử nghiệm, kiểm chứng, chuyển giao công nghệ và kết nối hiệu quả giữa nghiên cứu với ứng dụng, chuyển giao công nghệ và sản xuất.</w:t>
      </w:r>
    </w:p>
    <w:p w14:paraId="032C556F" w14:textId="08893836" w:rsidR="00734F8A" w:rsidRPr="003D5FA9" w:rsidRDefault="00C709B4" w:rsidP="00734F8A">
      <w:pPr>
        <w:ind w:firstLine="720"/>
        <w:jc w:val="both"/>
        <w:rPr>
          <w:rFonts w:ascii="Times New Roman" w:hAnsi="Times New Roman" w:cs="Times New Roman"/>
          <w:i/>
          <w:iCs/>
          <w:sz w:val="28"/>
          <w:szCs w:val="28"/>
        </w:rPr>
      </w:pPr>
      <w:r w:rsidRPr="003D5FA9">
        <w:rPr>
          <w:rFonts w:ascii="Times New Roman" w:hAnsi="Times New Roman" w:cs="Times New Roman"/>
          <w:i/>
          <w:iCs/>
          <w:sz w:val="28"/>
          <w:szCs w:val="28"/>
        </w:rPr>
        <w:t>1</w:t>
      </w:r>
      <w:r w:rsidR="00734F8A" w:rsidRPr="003D5FA9">
        <w:rPr>
          <w:rFonts w:ascii="Times New Roman" w:hAnsi="Times New Roman" w:cs="Times New Roman"/>
          <w:i/>
          <w:iCs/>
          <w:sz w:val="28"/>
          <w:szCs w:val="28"/>
        </w:rPr>
        <w:t xml:space="preserve">.2. </w:t>
      </w:r>
      <w:r w:rsidR="005F3240" w:rsidRPr="003D5FA9">
        <w:rPr>
          <w:rFonts w:ascii="Times New Roman" w:hAnsi="Times New Roman" w:cs="Times New Roman"/>
          <w:i/>
          <w:iCs/>
          <w:sz w:val="28"/>
          <w:szCs w:val="28"/>
        </w:rPr>
        <w:t>Phát triển hệ thống đổi mới sáng tạo</w:t>
      </w:r>
    </w:p>
    <w:p w14:paraId="4612FED3" w14:textId="472748AE" w:rsidR="005F3240" w:rsidRPr="003D5FA9" w:rsidRDefault="005F3240" w:rsidP="005F3240">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w:t>
      </w:r>
      <w:r w:rsidR="005279C8" w:rsidRPr="003D5FA9">
        <w:rPr>
          <w:rFonts w:ascii="Times New Roman" w:hAnsi="Times New Roman" w:cs="Times New Roman"/>
          <w:sz w:val="28"/>
          <w:szCs w:val="28"/>
        </w:rPr>
        <w:t>Chính phủ đã chỉ đạo các Bộ, ngành kiến tạo môi trường pháp lý thuận lợi vượt trội để thúc đẩy hệ sinh thái đổi mới sáng tạo quốc gia phát triển cả về chiều rộng lẫn chiều sâu. Kết quả nổi bật trong năm 2025 là Việt Nam tiếp tục khẳng định vị thế quốc tế vững chắc với Chỉ số Đổi mới sáng tạo toàn cầu (</w:t>
      </w:r>
      <w:r w:rsidR="005279C8" w:rsidRPr="003D5FA9">
        <w:rPr>
          <w:rFonts w:ascii="Times New Roman" w:hAnsi="Times New Roman" w:cs="Times New Roman"/>
          <w:b/>
          <w:bCs/>
          <w:sz w:val="28"/>
          <w:szCs w:val="28"/>
        </w:rPr>
        <w:t>GII) xếp hạng 44/139 quốc gia</w:t>
      </w:r>
      <w:r w:rsidR="005279C8" w:rsidRPr="003D5FA9">
        <w:rPr>
          <w:rFonts w:ascii="Times New Roman" w:hAnsi="Times New Roman" w:cs="Times New Roman"/>
          <w:sz w:val="28"/>
          <w:szCs w:val="28"/>
        </w:rPr>
        <w:t xml:space="preserve">, dẫn đầu nhóm các nước thu nhập trung bình thấp. Hệ sinh thái khởi nghiệp sáng tạo của Việt Nam đã vươn lên vị trí </w:t>
      </w:r>
      <w:r w:rsidR="005279C8" w:rsidRPr="003D5FA9">
        <w:rPr>
          <w:rFonts w:ascii="Times New Roman" w:hAnsi="Times New Roman" w:cs="Times New Roman"/>
          <w:b/>
          <w:bCs/>
          <w:sz w:val="28"/>
          <w:szCs w:val="28"/>
        </w:rPr>
        <w:t xml:space="preserve">thứ 55 toàn cầu và thứ 5 </w:t>
      </w:r>
      <w:r w:rsidR="005279C8" w:rsidRPr="003D5FA9">
        <w:rPr>
          <w:rFonts w:ascii="Times New Roman" w:hAnsi="Times New Roman" w:cs="Times New Roman"/>
          <w:b/>
          <w:bCs/>
          <w:sz w:val="28"/>
          <w:szCs w:val="28"/>
        </w:rPr>
        <w:lastRenderedPageBreak/>
        <w:t>khu vực ASEAN</w:t>
      </w:r>
      <w:r w:rsidR="005279C8" w:rsidRPr="003D5FA9">
        <w:rPr>
          <w:rFonts w:ascii="Times New Roman" w:hAnsi="Times New Roman" w:cs="Times New Roman"/>
          <w:sz w:val="28"/>
          <w:szCs w:val="28"/>
        </w:rPr>
        <w:t>. Đặc biệt, khung pháp lý cho hoạt động này đã được hoàn thiện đồng bộ thông qua việc Quốc hội thông qua Luật Khoa học, công nghệ và đổi mới sáng tạo, cùng với việc Chính phủ ban hành Nghị định số 268/2025/NĐ-CP quy định chi tiết về đối tượng, tiêu chí doanh nghiệp khởi nghiệp sáng tạo và Nghị định số 264/2025/NĐ-CP quy định về Quỹ đầu tư mạo hiểm quốc gia và địa phương. Đây là bước đột phá thể chế quan trọng, khơi thông dòng vốn đầu tư mạo hiểm và chính thức hóa các cơ chế ưu đãi cho cộng đồng khởi nghiệp.</w:t>
      </w:r>
    </w:p>
    <w:p w14:paraId="4D3DD89D" w14:textId="7A6D9A60" w:rsidR="00427B6D" w:rsidRPr="003D5FA9" w:rsidRDefault="005F3240" w:rsidP="00427B6D">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rPr>
        <w:t xml:space="preserve">- </w:t>
      </w:r>
      <w:r w:rsidRPr="003D5FA9">
        <w:rPr>
          <w:rFonts w:ascii="Times New Roman" w:hAnsi="Times New Roman" w:cs="Times New Roman"/>
          <w:b/>
          <w:bCs/>
          <w:i/>
          <w:iCs/>
          <w:sz w:val="28"/>
          <w:szCs w:val="28"/>
        </w:rPr>
        <w:t>Hình thành và phát triển mạng lưới trung tâm đổi mới sáng tạo</w:t>
      </w:r>
      <w:r w:rsidR="00427B6D" w:rsidRPr="003D5FA9">
        <w:rPr>
          <w:rFonts w:ascii="Times New Roman" w:hAnsi="Times New Roman" w:cs="Times New Roman"/>
          <w:sz w:val="28"/>
          <w:szCs w:val="28"/>
          <w:lang w:val="vi-VN"/>
        </w:rPr>
        <w:t>: Chính phủ đã chỉ đạo tập trung hoàn thiện khung khổ pháp lý và cơ chế chính sách để định hình, phát triển mạng lưới các trung tâm đổi mới sáng tạo thống nhất từ Trung ương đến địa phương, tạo hạ tầng mềm vững chắc cho hệ sinh thái khởi nghiệp. Cụ thể, Chính phủ đã ban hành Nghị định số 268/2025/NĐ-CP ngày 14/10/2025 quy định chi tiết về việc công nhận và hỗ trợ các trung tâm đổi mới sáng tạo, trung tâm hỗ trợ khởi nghiệp sáng tạo. Đây là văn bản pháp lý quan trọng lần đầu tiên chuẩn hóa các tiêu chí, điều kiện hoạt động, tạo hành lang pháp lý để các tổ chức này được hưởng các ưu đãi về đất đai, thuế và tín dụng, khuyến khích sự tham gia của cả khu vực công và tư nhân.</w:t>
      </w:r>
    </w:p>
    <w:p w14:paraId="61C6ABE8" w14:textId="6784F01B" w:rsidR="005F3240" w:rsidRPr="003D5FA9" w:rsidRDefault="00427B6D" w:rsidP="00427B6D">
      <w:pPr>
        <w:spacing w:before="120" w:after="120"/>
        <w:ind w:firstLine="720"/>
        <w:jc w:val="both"/>
        <w:rPr>
          <w:rFonts w:ascii="Times New Roman" w:hAnsi="Times New Roman" w:cs="Times New Roman"/>
          <w:spacing w:val="-2"/>
          <w:sz w:val="28"/>
          <w:szCs w:val="28"/>
          <w:lang w:val="vi-VN"/>
        </w:rPr>
      </w:pPr>
      <w:r w:rsidRPr="003D5FA9">
        <w:rPr>
          <w:rFonts w:ascii="Times New Roman" w:hAnsi="Times New Roman" w:cs="Times New Roman"/>
          <w:spacing w:val="-2"/>
          <w:sz w:val="28"/>
          <w:szCs w:val="28"/>
          <w:lang w:val="vi-VN"/>
        </w:rPr>
        <w:t>Ở cấp độ cơ sở nghiên cứu và đào tạo, Chính phủ đã chỉ đạo Bộ Giáo dục và Đào tạo thúc đẩy hình thành các trung tâm đổi mới sáng tạo ngay trong các trường đại học theo mô hình "3 Nhà". Các cơ sở giáo dục đại học hàng đầu như Đại học Quốc gia Hà Nội, Đại học Quốc gia TP. Hồ Chí Minh và Đại học Bách khoa Hà Nội đã thành lập các Ban Chỉ đạo và Tổ chuyên gia, chủ động dành nguồn lực để xây dựng các không gian làm việc chung, phòng thí nghiệm liên ngành và trung tâm ươm tạo, kết nối trực tiếp với doanh nghiệp để thương mại hóa kết quả nghiên cứu.</w:t>
      </w:r>
    </w:p>
    <w:p w14:paraId="1DBDD985" w14:textId="6195A962" w:rsidR="005F3240" w:rsidRPr="003D5FA9" w:rsidRDefault="005F3240" w:rsidP="005F3240">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w:t>
      </w:r>
      <w:r w:rsidRPr="003D5FA9">
        <w:rPr>
          <w:rFonts w:ascii="Times New Roman" w:hAnsi="Times New Roman" w:cs="Times New Roman"/>
          <w:b/>
          <w:bCs/>
          <w:i/>
          <w:iCs/>
          <w:sz w:val="28"/>
          <w:szCs w:val="28"/>
        </w:rPr>
        <w:t>Thử nghiệm các công nghệ, quy trình, giải pháp, dịch vụ, mô hình kinh doanh mới</w:t>
      </w:r>
      <w:r w:rsidR="00784758" w:rsidRPr="003D5FA9">
        <w:rPr>
          <w:rFonts w:ascii="Times New Roman" w:hAnsi="Times New Roman" w:cs="Times New Roman"/>
          <w:sz w:val="28"/>
          <w:szCs w:val="28"/>
          <w:lang w:val="vi-VN"/>
        </w:rPr>
        <w:t xml:space="preserve">: </w:t>
      </w:r>
      <w:r w:rsidR="00683B57" w:rsidRPr="003D5FA9">
        <w:rPr>
          <w:rFonts w:ascii="Times New Roman" w:hAnsi="Times New Roman" w:cs="Times New Roman"/>
          <w:sz w:val="28"/>
          <w:szCs w:val="28"/>
          <w:lang w:val="vi-VN"/>
        </w:rPr>
        <w:t xml:space="preserve">Chính phủ đã kiến tạo hành lang pháp lý an toàn để khuyến khích thử nghiệm các mô hình kinh doanh mới thông qua việc trình Quốc hội ban hành Nghị quyết số 193/2025/QH15, chính thức áp dụng cơ chế thử nghiệm có kiểm soát (Sandbox) cho các công nghệ số và mô hình kinh tế mới. </w:t>
      </w:r>
      <w:r w:rsidR="00CE4927" w:rsidRPr="003D5FA9">
        <w:rPr>
          <w:rFonts w:ascii="Times New Roman" w:hAnsi="Times New Roman" w:cs="Times New Roman"/>
          <w:sz w:val="28"/>
          <w:szCs w:val="28"/>
        </w:rPr>
        <w:t xml:space="preserve">Việc này càng trở nên cấp thiết khi tỷ lệ doanh nghiệp có hoạt động đổi mới sáng tạo hiện đạt </w:t>
      </w:r>
      <w:r w:rsidR="00CE4927" w:rsidRPr="003D5FA9">
        <w:rPr>
          <w:rFonts w:ascii="Times New Roman" w:hAnsi="Times New Roman" w:cs="Times New Roman"/>
          <w:b/>
          <w:bCs/>
          <w:sz w:val="28"/>
          <w:szCs w:val="28"/>
        </w:rPr>
        <w:t>34,6%</w:t>
      </w:r>
      <w:r w:rsidR="00CE4927" w:rsidRPr="003D5FA9">
        <w:rPr>
          <w:rFonts w:ascii="Times New Roman" w:hAnsi="Times New Roman" w:cs="Times New Roman"/>
          <w:sz w:val="28"/>
          <w:szCs w:val="28"/>
        </w:rPr>
        <w:t xml:space="preserve">, cần động lực mạnh mẽ hơn để đạt mục tiêu 40%. Đồng thời, với việc số lượng văn bằng bảo hộ sáng chế của người Việt tăng đột biến </w:t>
      </w:r>
      <w:r w:rsidR="00CE4927" w:rsidRPr="003D5FA9">
        <w:rPr>
          <w:rFonts w:ascii="Times New Roman" w:hAnsi="Times New Roman" w:cs="Times New Roman"/>
          <w:b/>
          <w:bCs/>
          <w:sz w:val="28"/>
          <w:szCs w:val="28"/>
        </w:rPr>
        <w:t>134,2%</w:t>
      </w:r>
      <w:r w:rsidR="00CE4927" w:rsidRPr="003D5FA9">
        <w:rPr>
          <w:rFonts w:ascii="Times New Roman" w:hAnsi="Times New Roman" w:cs="Times New Roman"/>
          <w:sz w:val="28"/>
          <w:szCs w:val="28"/>
        </w:rPr>
        <w:t xml:space="preserve"> trong năm, nhu cầu thử nghiệm để thương mại hóa các sáng chế này là rất lớn</w:t>
      </w:r>
      <w:r w:rsidR="00CE4927" w:rsidRPr="003D5FA9">
        <w:rPr>
          <w:rFonts w:ascii="Times New Roman" w:hAnsi="Times New Roman" w:cs="Times New Roman"/>
          <w:sz w:val="28"/>
          <w:szCs w:val="28"/>
          <w:lang w:val="vi-VN"/>
        </w:rPr>
        <w:t>.</w:t>
      </w:r>
    </w:p>
    <w:p w14:paraId="7948A470" w14:textId="4CA02416" w:rsidR="00CE4927" w:rsidRPr="003D5FA9" w:rsidRDefault="00CE4927" w:rsidP="002D4A77">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lang w:val="vi-VN"/>
        </w:rPr>
        <w:t xml:space="preserve">Trong lĩnh vực dữ liệu và định danh số, Chính phủ đã chỉ đạo Bộ Công an tiên phong thí điểm mô hình kết nối, chia sẻ dữ liệu dân cư và xác thực định danh điện tử (VNeID) để cung cấp các dịch vụ tiện ích chưa từng có. Việc thí điểm sử dụng VNeID thay thế giấy tờ truyền thống trong khám chữa bệnh BHYT, làm thủ </w:t>
      </w:r>
      <w:r w:rsidRPr="003D5FA9">
        <w:rPr>
          <w:rFonts w:ascii="Times New Roman" w:hAnsi="Times New Roman" w:cs="Times New Roman"/>
          <w:sz w:val="28"/>
          <w:szCs w:val="28"/>
          <w:lang w:val="vi-VN"/>
        </w:rPr>
        <w:lastRenderedPageBreak/>
        <w:t>tục hàng không và mở tài khoản ngân hàng đã được triển khai rộng rãi, giúp cắt giảm thời gian thực hiện thủ tục hành chính trung bình giảm từ 30-50% cho người dân. Bên cạnh đó, Bộ Công an cũng đang phối hợp với Ngân hàng Nhà nước triển khai thí điểm chấm điểm tín dụng công dân dựa trên dữ liệu dân cư, tạo điều kiện cho người dân tiếp cận các khoản vay tín chấp chính thống, góp phần đẩy lùi tín dụng đen.</w:t>
      </w:r>
    </w:p>
    <w:p w14:paraId="4408DEE8" w14:textId="0EB97418" w:rsidR="00A038B1" w:rsidRPr="003D5FA9" w:rsidRDefault="005F3240" w:rsidP="00A038B1">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rPr>
        <w:t xml:space="preserve">- </w:t>
      </w:r>
      <w:r w:rsidRPr="003D5FA9">
        <w:rPr>
          <w:rFonts w:ascii="Times New Roman" w:hAnsi="Times New Roman" w:cs="Times New Roman"/>
          <w:b/>
          <w:bCs/>
          <w:i/>
          <w:iCs/>
          <w:sz w:val="28"/>
          <w:szCs w:val="28"/>
        </w:rPr>
        <w:t>Hoạt động sở hữu trí tuệ</w:t>
      </w:r>
      <w:r w:rsidR="00121F6D" w:rsidRPr="003D5FA9">
        <w:rPr>
          <w:rFonts w:ascii="Times New Roman" w:hAnsi="Times New Roman" w:cs="Times New Roman"/>
          <w:sz w:val="28"/>
          <w:szCs w:val="28"/>
          <w:lang w:val="vi-VN"/>
        </w:rPr>
        <w:t>:</w:t>
      </w:r>
      <w:r w:rsidRPr="003D5FA9">
        <w:rPr>
          <w:rFonts w:ascii="Times New Roman" w:hAnsi="Times New Roman" w:cs="Times New Roman"/>
          <w:sz w:val="28"/>
          <w:szCs w:val="28"/>
        </w:rPr>
        <w:t xml:space="preserve"> (Đăng ký sáng chế, nhãn hiệu, kiểu dáng; hỗ trợ phát triển tài sản trí tuệ)</w:t>
      </w:r>
      <w:r w:rsidR="00A038B1" w:rsidRPr="003D5FA9">
        <w:rPr>
          <w:rFonts w:ascii="Times New Roman" w:hAnsi="Times New Roman" w:cs="Times New Roman"/>
          <w:sz w:val="28"/>
          <w:szCs w:val="28"/>
          <w:lang w:val="vi-VN"/>
        </w:rPr>
        <w:t xml:space="preserve">: Tính đến tháng 12, Bộ KH&amp;CN đã nhận được </w:t>
      </w:r>
      <w:r w:rsidR="00A038B1" w:rsidRPr="003D5FA9">
        <w:rPr>
          <w:rFonts w:ascii="Times New Roman" w:hAnsi="Times New Roman" w:cs="Times New Roman"/>
          <w:b/>
          <w:bCs/>
          <w:sz w:val="28"/>
          <w:szCs w:val="28"/>
          <w:lang w:val="vi-VN"/>
        </w:rPr>
        <w:t>134.471 đơn các loại (bằng 107,9% so với cùng kỳ năm 2024);</w:t>
      </w:r>
      <w:r w:rsidR="00A038B1" w:rsidRPr="003D5FA9">
        <w:rPr>
          <w:rFonts w:ascii="Times New Roman" w:hAnsi="Times New Roman" w:cs="Times New Roman"/>
          <w:sz w:val="28"/>
          <w:szCs w:val="28"/>
          <w:lang w:val="vi-VN"/>
        </w:rPr>
        <w:t xml:space="preserve"> xử lý được </w:t>
      </w:r>
      <w:r w:rsidR="00A038B1" w:rsidRPr="003D5FA9">
        <w:rPr>
          <w:rFonts w:ascii="Times New Roman" w:hAnsi="Times New Roman" w:cs="Times New Roman"/>
          <w:b/>
          <w:bCs/>
          <w:sz w:val="28"/>
          <w:szCs w:val="28"/>
          <w:lang w:val="vi-VN"/>
        </w:rPr>
        <w:t>232.500 đơn (bằng 201% so với cùng kỳ năm 2024)</w:t>
      </w:r>
      <w:r w:rsidR="00A038B1" w:rsidRPr="003D5FA9">
        <w:rPr>
          <w:rFonts w:ascii="Times New Roman" w:hAnsi="Times New Roman" w:cs="Times New Roman"/>
          <w:sz w:val="28"/>
          <w:szCs w:val="28"/>
          <w:lang w:val="vi-VN"/>
        </w:rPr>
        <w:t xml:space="preserve"> và cấp </w:t>
      </w:r>
      <w:r w:rsidR="00A038B1" w:rsidRPr="003D5FA9">
        <w:rPr>
          <w:rFonts w:ascii="Times New Roman" w:hAnsi="Times New Roman" w:cs="Times New Roman"/>
          <w:b/>
          <w:bCs/>
          <w:sz w:val="28"/>
          <w:szCs w:val="28"/>
          <w:lang w:val="vi-VN"/>
        </w:rPr>
        <w:t>76691 văn bằng bảo hộ</w:t>
      </w:r>
      <w:r w:rsidR="00A038B1" w:rsidRPr="003D5FA9">
        <w:rPr>
          <w:rFonts w:ascii="Times New Roman" w:hAnsi="Times New Roman" w:cs="Times New Roman"/>
          <w:sz w:val="28"/>
          <w:szCs w:val="28"/>
          <w:lang w:val="vi-VN"/>
        </w:rPr>
        <w:t xml:space="preserve"> sở hữu công nghiệp (</w:t>
      </w:r>
      <w:r w:rsidR="00A038B1" w:rsidRPr="003D5FA9">
        <w:rPr>
          <w:rFonts w:ascii="Times New Roman" w:hAnsi="Times New Roman" w:cs="Times New Roman"/>
          <w:b/>
          <w:bCs/>
          <w:sz w:val="28"/>
          <w:szCs w:val="28"/>
          <w:lang w:val="vi-VN"/>
        </w:rPr>
        <w:t>bằng 167,9% so với cùng kỳ năm 2024</w:t>
      </w:r>
      <w:r w:rsidR="00A038B1" w:rsidRPr="003D5FA9">
        <w:rPr>
          <w:rFonts w:ascii="Times New Roman" w:hAnsi="Times New Roman" w:cs="Times New Roman"/>
          <w:sz w:val="28"/>
          <w:szCs w:val="28"/>
          <w:lang w:val="vi-VN"/>
        </w:rPr>
        <w:t>).</w:t>
      </w:r>
    </w:p>
    <w:p w14:paraId="5D29E20D" w14:textId="3CA8D7E7" w:rsidR="005F3240" w:rsidRPr="003D5FA9" w:rsidRDefault="00A038B1" w:rsidP="00A038B1">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 xml:space="preserve">Kết quả xử lý đơn 11 tháng đầu năm 2025 </w:t>
      </w:r>
      <w:r w:rsidRPr="003D5FA9">
        <w:rPr>
          <w:rFonts w:ascii="Times New Roman" w:hAnsi="Times New Roman" w:cs="Times New Roman"/>
          <w:b/>
          <w:bCs/>
          <w:sz w:val="28"/>
          <w:szCs w:val="28"/>
          <w:lang w:val="vi-VN"/>
        </w:rPr>
        <w:t>vượt 111,8%</w:t>
      </w:r>
      <w:r w:rsidRPr="003D5FA9">
        <w:rPr>
          <w:rFonts w:ascii="Times New Roman" w:hAnsi="Times New Roman" w:cs="Times New Roman"/>
          <w:sz w:val="28"/>
          <w:szCs w:val="28"/>
          <w:lang w:val="vi-VN"/>
        </w:rPr>
        <w:t xml:space="preserve"> so với kế hoạch xử lý đơn của cả năm 2025. Số đơn chưa xử lý quá hạn tại thời điểm 31/12/2024 và số đơn quá hạn phát sinh trong năm 2025 đã được xử lý dứt điểm. Cùng với kế hoạch tháng 12/2025, cả năm dự kiến sẽ kết thúc </w:t>
      </w:r>
      <w:r w:rsidRPr="003D5FA9">
        <w:rPr>
          <w:rFonts w:ascii="Times New Roman" w:hAnsi="Times New Roman" w:cs="Times New Roman"/>
          <w:b/>
          <w:bCs/>
          <w:sz w:val="28"/>
          <w:szCs w:val="28"/>
          <w:lang w:val="vi-VN"/>
        </w:rPr>
        <w:t>245.061 đơn và cấp 80.482 văn bằng bảo hộ</w:t>
      </w:r>
      <w:r w:rsidRPr="003D5FA9">
        <w:rPr>
          <w:rFonts w:ascii="Times New Roman" w:hAnsi="Times New Roman" w:cs="Times New Roman"/>
          <w:sz w:val="28"/>
          <w:szCs w:val="28"/>
          <w:lang w:val="vi-VN"/>
        </w:rPr>
        <w:t>.</w:t>
      </w:r>
    </w:p>
    <w:p w14:paraId="58F37417" w14:textId="4BD41A95" w:rsidR="00121F6D" w:rsidRPr="003D5FA9" w:rsidRDefault="00121F6D" w:rsidP="00121F6D">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 xml:space="preserve">Luật sửa đổi, bổ sung một số điều của Luật SHTT rút ngắn thời hạn xử lý đơn, cụ thể: thời gian thẩm định nội dung đối với đơn đăng ký sáng chế giảm từ </w:t>
      </w:r>
      <w:r w:rsidRPr="003D5FA9">
        <w:rPr>
          <w:rFonts w:ascii="Times New Roman" w:hAnsi="Times New Roman" w:cs="Times New Roman"/>
          <w:b/>
          <w:bCs/>
          <w:sz w:val="28"/>
          <w:szCs w:val="28"/>
          <w:lang w:val="vi-VN"/>
        </w:rPr>
        <w:t>18 tháng xuống 12 tháng</w:t>
      </w:r>
      <w:r w:rsidRPr="003D5FA9">
        <w:rPr>
          <w:rFonts w:ascii="Times New Roman" w:hAnsi="Times New Roman" w:cs="Times New Roman"/>
          <w:sz w:val="28"/>
          <w:szCs w:val="28"/>
          <w:lang w:val="vi-VN"/>
        </w:rPr>
        <w:t xml:space="preserve">; kiểu dáng công nghiệp giảm từ </w:t>
      </w:r>
      <w:r w:rsidRPr="003D5FA9">
        <w:rPr>
          <w:rFonts w:ascii="Times New Roman" w:hAnsi="Times New Roman" w:cs="Times New Roman"/>
          <w:b/>
          <w:bCs/>
          <w:sz w:val="28"/>
          <w:szCs w:val="28"/>
          <w:lang w:val="vi-VN"/>
        </w:rPr>
        <w:t>7 tháng xuống 5 tháng</w:t>
      </w:r>
      <w:r w:rsidRPr="003D5FA9">
        <w:rPr>
          <w:rFonts w:ascii="Times New Roman" w:hAnsi="Times New Roman" w:cs="Times New Roman"/>
          <w:sz w:val="28"/>
          <w:szCs w:val="28"/>
          <w:lang w:val="vi-VN"/>
        </w:rPr>
        <w:t xml:space="preserve">; nhãn hiệu giảm từ </w:t>
      </w:r>
      <w:r w:rsidRPr="003D5FA9">
        <w:rPr>
          <w:rFonts w:ascii="Times New Roman" w:hAnsi="Times New Roman" w:cs="Times New Roman"/>
          <w:b/>
          <w:bCs/>
          <w:sz w:val="28"/>
          <w:szCs w:val="28"/>
          <w:lang w:val="vi-VN"/>
        </w:rPr>
        <w:t>9 tháng xuống 5 tháng</w:t>
      </w:r>
      <w:r w:rsidRPr="003D5FA9">
        <w:rPr>
          <w:rFonts w:ascii="Times New Roman" w:hAnsi="Times New Roman" w:cs="Times New Roman"/>
          <w:sz w:val="28"/>
          <w:szCs w:val="28"/>
          <w:lang w:val="vi-VN"/>
        </w:rPr>
        <w:t xml:space="preserve">; chỉ dẫn địa lý giảm từ </w:t>
      </w:r>
      <w:r w:rsidRPr="003D5FA9">
        <w:rPr>
          <w:rFonts w:ascii="Times New Roman" w:hAnsi="Times New Roman" w:cs="Times New Roman"/>
          <w:b/>
          <w:bCs/>
          <w:sz w:val="28"/>
          <w:szCs w:val="28"/>
          <w:lang w:val="vi-VN"/>
        </w:rPr>
        <w:t>6 tháng xuống 5 tháng</w:t>
      </w:r>
      <w:r w:rsidRPr="003D5FA9">
        <w:rPr>
          <w:rFonts w:ascii="Times New Roman" w:hAnsi="Times New Roman" w:cs="Times New Roman"/>
          <w:sz w:val="28"/>
          <w:szCs w:val="28"/>
          <w:lang w:val="vi-VN"/>
        </w:rPr>
        <w:t xml:space="preserve">. Thời hạn công bố đơn được rút từ </w:t>
      </w:r>
      <w:r w:rsidRPr="003D5FA9">
        <w:rPr>
          <w:rFonts w:ascii="Times New Roman" w:hAnsi="Times New Roman" w:cs="Times New Roman"/>
          <w:b/>
          <w:bCs/>
          <w:sz w:val="28"/>
          <w:szCs w:val="28"/>
          <w:lang w:val="vi-VN"/>
        </w:rPr>
        <w:t>2 tháng xuống còn 1 tháng</w:t>
      </w:r>
      <w:r w:rsidRPr="003D5FA9">
        <w:rPr>
          <w:rFonts w:ascii="Times New Roman" w:hAnsi="Times New Roman" w:cs="Times New Roman"/>
          <w:sz w:val="28"/>
          <w:szCs w:val="28"/>
          <w:lang w:val="vi-VN"/>
        </w:rPr>
        <w:t xml:space="preserve"> kể từ ngày đơn được coi là hợp lệ. Đặc biệt, </w:t>
      </w:r>
      <w:r w:rsidR="005662BE" w:rsidRPr="003D5FA9">
        <w:rPr>
          <w:rFonts w:ascii="Times New Roman" w:hAnsi="Times New Roman" w:cs="Times New Roman"/>
          <w:sz w:val="28"/>
          <w:szCs w:val="28"/>
        </w:rPr>
        <w:t>Luật đã</w:t>
      </w:r>
      <w:r w:rsidRPr="003D5FA9">
        <w:rPr>
          <w:rFonts w:ascii="Times New Roman" w:hAnsi="Times New Roman" w:cs="Times New Roman"/>
          <w:sz w:val="28"/>
          <w:szCs w:val="28"/>
          <w:lang w:val="vi-VN"/>
        </w:rPr>
        <w:t xml:space="preserve"> bổ sung quy trình thẩm định nội dung nhanh đối với đơn đăng ký sáng chế và nhãn hiệu, với thời hạn tối đa </w:t>
      </w:r>
      <w:r w:rsidRPr="003D5FA9">
        <w:rPr>
          <w:rFonts w:ascii="Times New Roman" w:hAnsi="Times New Roman" w:cs="Times New Roman"/>
          <w:b/>
          <w:bCs/>
          <w:sz w:val="28"/>
          <w:szCs w:val="28"/>
          <w:lang w:val="vi-VN"/>
        </w:rPr>
        <w:t>03 tháng</w:t>
      </w:r>
      <w:r w:rsidRPr="003D5FA9">
        <w:rPr>
          <w:rFonts w:ascii="Times New Roman" w:hAnsi="Times New Roman" w:cs="Times New Roman"/>
          <w:sz w:val="28"/>
          <w:szCs w:val="28"/>
          <w:lang w:val="vi-VN"/>
        </w:rPr>
        <w:t>.</w:t>
      </w:r>
    </w:p>
    <w:p w14:paraId="61DA1B12" w14:textId="3BCDB1C7" w:rsidR="00A05181" w:rsidRPr="003D5FA9" w:rsidRDefault="00A05181" w:rsidP="005F3240">
      <w:pPr>
        <w:spacing w:before="120" w:after="120"/>
        <w:ind w:firstLine="720"/>
        <w:jc w:val="both"/>
        <w:rPr>
          <w:rFonts w:ascii="Times New Roman" w:hAnsi="Times New Roman" w:cs="Times New Roman"/>
          <w:b/>
          <w:bCs/>
          <w:sz w:val="28"/>
          <w:szCs w:val="28"/>
        </w:rPr>
      </w:pPr>
      <w:r w:rsidRPr="003D5FA9">
        <w:rPr>
          <w:rFonts w:ascii="Times New Roman" w:hAnsi="Times New Roman" w:cs="Times New Roman"/>
          <w:sz w:val="28"/>
          <w:szCs w:val="28"/>
        </w:rPr>
        <w:t>- Các sự kiện, hoạt động nổi bật khác.</w:t>
      </w:r>
    </w:p>
    <w:p w14:paraId="414FB6DA" w14:textId="77777777" w:rsidR="005F3240" w:rsidRPr="003D5FA9" w:rsidRDefault="00C709B4" w:rsidP="00734F8A">
      <w:pPr>
        <w:ind w:firstLine="720"/>
        <w:jc w:val="both"/>
        <w:rPr>
          <w:rFonts w:ascii="Times New Roman" w:hAnsi="Times New Roman" w:cs="Times New Roman"/>
          <w:i/>
          <w:iCs/>
          <w:sz w:val="28"/>
          <w:szCs w:val="28"/>
        </w:rPr>
      </w:pPr>
      <w:r w:rsidRPr="003D5FA9">
        <w:rPr>
          <w:rFonts w:ascii="Times New Roman" w:hAnsi="Times New Roman" w:cs="Times New Roman"/>
          <w:i/>
          <w:iCs/>
          <w:sz w:val="28"/>
          <w:szCs w:val="28"/>
        </w:rPr>
        <w:t>1</w:t>
      </w:r>
      <w:r w:rsidR="00734F8A" w:rsidRPr="003D5FA9">
        <w:rPr>
          <w:rFonts w:ascii="Times New Roman" w:hAnsi="Times New Roman" w:cs="Times New Roman"/>
          <w:i/>
          <w:iCs/>
          <w:sz w:val="28"/>
          <w:szCs w:val="28"/>
        </w:rPr>
        <w:t xml:space="preserve">.3. </w:t>
      </w:r>
      <w:r w:rsidR="005F3240" w:rsidRPr="003D5FA9">
        <w:rPr>
          <w:rFonts w:ascii="Times New Roman" w:hAnsi="Times New Roman" w:cs="Times New Roman"/>
          <w:i/>
          <w:iCs/>
          <w:sz w:val="28"/>
          <w:szCs w:val="28"/>
        </w:rPr>
        <w:t xml:space="preserve">Phát triển hệ sinh thái khởi nghiệp sáng tạo </w:t>
      </w:r>
    </w:p>
    <w:p w14:paraId="7637440D" w14:textId="77777777" w:rsidR="000939B9" w:rsidRPr="003D5FA9" w:rsidRDefault="000939B9" w:rsidP="000939B9">
      <w:pPr>
        <w:ind w:firstLine="720"/>
        <w:jc w:val="both"/>
        <w:rPr>
          <w:rFonts w:ascii="Times New Roman" w:hAnsi="Times New Roman" w:cs="Times New Roman"/>
          <w:sz w:val="28"/>
          <w:szCs w:val="28"/>
        </w:rPr>
      </w:pPr>
      <w:r w:rsidRPr="003D5FA9">
        <w:rPr>
          <w:rFonts w:ascii="Times New Roman" w:hAnsi="Times New Roman" w:cs="Times New Roman"/>
          <w:sz w:val="28"/>
          <w:szCs w:val="28"/>
        </w:rPr>
        <w:t>Hiện nay, ước tính Việt Nam có khoảng 4.000 và Doanh nghiệp Khởi nghiệp sáng tạo. Trong đó đã có 2 kỳ lân công nghệ là MoMo và Sky Mavis, cùng với nhiều doanh nghiệp KNST tiềm năng thuộc thành phần kinh tế tư nhân đang phát triển mạnh mẽ.</w:t>
      </w:r>
    </w:p>
    <w:p w14:paraId="413AB084" w14:textId="5AD4E09D" w:rsidR="000939B9" w:rsidRPr="003D5FA9" w:rsidRDefault="000939B9" w:rsidP="000939B9">
      <w:pPr>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Vừa qua, khái niệm về doanh nghiệp KNST đã được quy định tại Luật Khoa học, Công nghệ và Đổi mới sáng tạo số 93/2025/QH15. Đồng thời, tiêu chí, điều kiện, quy trình, thủ tục công nhận doanh nghiệp KNST đã được đưa vào Nghị định số 268/2025/NĐ-CP quy định chi tiết và hướng dẫn thi hành Luật Khoa học, Công nghệ và Đổi mới sáng tạo về đổi mới sáng tạo; khuyến khích hoạt động KH,CN&amp;ĐMST trong doanh nghiệp; công nhận trung tâm đổi mới sáng tạo, hỗ trợ khởi nghiệp sáng tạo; công nhận cá nhân, doanh nghiệp khởi nghiệp sáng tạo; hạ </w:t>
      </w:r>
      <w:r w:rsidRPr="003D5FA9">
        <w:rPr>
          <w:rFonts w:ascii="Times New Roman" w:hAnsi="Times New Roman" w:cs="Times New Roman"/>
          <w:sz w:val="28"/>
          <w:szCs w:val="28"/>
        </w:rPr>
        <w:lastRenderedPageBreak/>
        <w:t>tầng, mạng lưới và hệ sinh thái khởi nghiệp sáng tạo. Sau khi Nghị định được triển khai thực hiện trên phạm vi cả nước, tình hình phát triển của các doanh nghiệp KNST sẽ được tổng hợp, theo dõi, báo cáo, đánh giá một cách đầy đủ, chính xác và toàn diện hơn..</w:t>
      </w:r>
    </w:p>
    <w:p w14:paraId="0392934B" w14:textId="78D7D192" w:rsidR="000939B9" w:rsidRPr="003D5FA9" w:rsidRDefault="000939B9" w:rsidP="000939B9">
      <w:pPr>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Tính đến hết tháng 11/2025, cả nước có khoảng 962 doanh nghiệp được cấp giấy chứng nhận doanh nghiệp KH&amp;CN (trong 11 tháng đầu năm 2025 đã có 42 doanh nghiệp được cấp giấy chứng nhận doanh nghiệp KH&amp;CN). Phần lớn các doanh nghiệp KH&amp;CN này là doanh nghiệp tư nhân (khoảng 98,5%). Hơn 90% doanh nghiệp KH&amp;CN được chứng nhận là từ kết quả nghiên cứu do doanh nghiệp tự đầu tư R&amp;D hoặc nhận chuyển giao công nghệ bằng nguồn vốn tư nhân; chỉ khoảng 6,5% doanh nghiệp KH&amp;CN hình thành từ kết quả KH&amp;CN có nguồn gốc ngân sách nhà nước. Điều này cho thấy khu vực tư nhân đã và đang chủ động tham gia đầu tư cho KH&amp;CN. Sự phát triển của hệ thống doanh nghiệp KH&amp;CN thời gian qua đã tạo ra những tác động tích cực và sâu rộng đến phát triển kinh tế - xã hội, đổi mới sáng tạo và nâng cao năng lực KH&amp;CN quốc gia. </w:t>
      </w:r>
    </w:p>
    <w:p w14:paraId="292967D5" w14:textId="0A8FD97C" w:rsidR="000939B9" w:rsidRPr="003D5FA9" w:rsidRDefault="000939B9" w:rsidP="000939B9">
      <w:pPr>
        <w:ind w:firstLine="720"/>
        <w:jc w:val="both"/>
        <w:rPr>
          <w:rFonts w:ascii="Times New Roman" w:hAnsi="Times New Roman" w:cs="Times New Roman"/>
          <w:spacing w:val="-2"/>
          <w:sz w:val="28"/>
          <w:szCs w:val="28"/>
        </w:rPr>
      </w:pPr>
      <w:r w:rsidRPr="003D5FA9">
        <w:rPr>
          <w:rFonts w:ascii="Times New Roman" w:hAnsi="Times New Roman" w:cs="Times New Roman"/>
          <w:spacing w:val="-2"/>
          <w:sz w:val="28"/>
          <w:szCs w:val="28"/>
        </w:rPr>
        <w:t xml:space="preserve">Năng lực công nghệ và đổi mới sáng tạo của nhiều doanh nghiệp KH&amp;CN đã được khẳng định bước đầu. Theo thống kê, khoảng </w:t>
      </w:r>
      <w:r w:rsidRPr="003D5FA9">
        <w:rPr>
          <w:rFonts w:ascii="Times New Roman" w:hAnsi="Times New Roman" w:cs="Times New Roman"/>
          <w:b/>
          <w:spacing w:val="-2"/>
          <w:sz w:val="28"/>
          <w:szCs w:val="28"/>
        </w:rPr>
        <w:t>25%</w:t>
      </w:r>
      <w:r w:rsidRPr="003D5FA9">
        <w:rPr>
          <w:rFonts w:ascii="Times New Roman" w:hAnsi="Times New Roman" w:cs="Times New Roman"/>
          <w:spacing w:val="-2"/>
          <w:sz w:val="28"/>
          <w:szCs w:val="28"/>
        </w:rPr>
        <w:t xml:space="preserve"> doanh nghiệp KH&amp;CN sở hữu văn bằng bảo hộ sở hữu trí tuệ (sáng chế, giải pháp hữu ích, kiểu dáng công nghiệp, giống cây trồng...). Một số doanh nghiệp tiêu biểu như BUSADCO, Robot TOSY, Rạng Đông, Tập đoàn Giống cây trồng Việt Nam (Vinaseed) đã sở hữu hàng chục bằng sáng chế, làm chủ công nghệ sản xuất trong các lĩnh vực vật liệu mới, công nghệ môi trường, điện tử - tự động hóa, công nghệ sinh học, góp phần thay thế sản phẩm nhập khẩu và từng bước xuất khẩu sản phẩm công nghệ ra nước ngoài.</w:t>
      </w:r>
    </w:p>
    <w:p w14:paraId="34812A13" w14:textId="6BB94572" w:rsidR="000939B9" w:rsidRPr="003D5FA9" w:rsidRDefault="000939B9" w:rsidP="000939B9">
      <w:pPr>
        <w:ind w:firstLine="720"/>
        <w:jc w:val="both"/>
        <w:rPr>
          <w:rFonts w:ascii="Times New Roman" w:hAnsi="Times New Roman" w:cs="Times New Roman"/>
          <w:spacing w:val="-2"/>
          <w:sz w:val="28"/>
          <w:szCs w:val="28"/>
        </w:rPr>
      </w:pPr>
      <w:r w:rsidRPr="003D5FA9">
        <w:rPr>
          <w:rFonts w:ascii="Times New Roman" w:hAnsi="Times New Roman" w:cs="Times New Roman"/>
          <w:spacing w:val="-2"/>
          <w:sz w:val="28"/>
          <w:szCs w:val="28"/>
        </w:rPr>
        <w:t>Từ ngày 01/10/2025, Nghị định số 13/2019/NĐ-CP ngày 01/02/2019 hết hiệu lực thi hành khi Luật Khoa học, Công nghệ và Đổi mới sáng tạo số 93/2025/QH15 được Quốc hội ban hành. Ngày 14/10/2025, Chính phủ đã ban hành Nghị định số 268/2025/NĐ-CP quy định chi tiết và hướng dẫn thi hành một số điều của Luật KH&amp;CN và ĐMST về đổi mới sáng tạo; khuyến khích hoạt động KH&amp;CN và ĐMST trong doanh nghiệp; công nhận trung tâm đổi mới sáng tạo, hỗ trợ khởi nghiệp sáng tạo; công nhận cá nhân, doanh nghiệp khởi nghiệp sáng tạo; phát triển hạ tầng, mạng lưới và hệ sinh thái khởi nghiệp sáng tạo. Nghị định cũng quy định nội dung chứng nhận doanh nghiệp KH&amp;CN và phân cấp thẩm quyền cho Ủy ban nhân dân cấp tỉnh thực hiện.</w:t>
      </w:r>
    </w:p>
    <w:p w14:paraId="46DBACB1" w14:textId="3EC724B4" w:rsidR="000862DE" w:rsidRPr="003D5FA9" w:rsidRDefault="000939B9" w:rsidP="000939B9">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rPr>
        <w:t>Thời gian tới, Bộ KH&amp;CN sẽ hướng dẫn các địa phương tổ chức triển khai thực hiện thống nhất trên phạm vi cả nước, đồng thời phối hợp tuyên truyền, phổ biến chính sách để doanh nghiệp KH&amp;CN sớm tiếp cận và hưởng các ưu đãi về thuế, đất đai, tín dụng theo quy định.</w:t>
      </w:r>
    </w:p>
    <w:p w14:paraId="1D130522" w14:textId="4AC47D10" w:rsidR="00FF0187" w:rsidRPr="003D5FA9" w:rsidRDefault="00FF0187" w:rsidP="00A42425">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lastRenderedPageBreak/>
        <w:t xml:space="preserve">Trong năm 2025, các hoạt động kết nối đầu tư – thị trường cho khởi nghiệp sáng tạo tiếp tục được thúc đẩy thông qua hệ sinh thái đổi mới sáng tạo quốc gia. Trung tâm Đổi mới sáng tạo Quốc gia (NIC) đã bảo trợ thành lập 10 Mạng lưới Đổi mới sáng tạo Việt Nam tại </w:t>
      </w:r>
      <w:r w:rsidRPr="003D5FA9">
        <w:rPr>
          <w:rFonts w:ascii="Times New Roman" w:hAnsi="Times New Roman" w:cs="Times New Roman"/>
          <w:b/>
          <w:bCs/>
          <w:sz w:val="28"/>
          <w:szCs w:val="28"/>
          <w:lang w:val="vi-VN"/>
        </w:rPr>
        <w:t>22 quốc gia và vùng lãnh thổ</w:t>
      </w:r>
      <w:r w:rsidRPr="003D5FA9">
        <w:rPr>
          <w:rFonts w:ascii="Times New Roman" w:hAnsi="Times New Roman" w:cs="Times New Roman"/>
          <w:sz w:val="28"/>
          <w:szCs w:val="28"/>
          <w:lang w:val="vi-VN"/>
        </w:rPr>
        <w:t xml:space="preserve">, với hơn </w:t>
      </w:r>
      <w:r w:rsidRPr="003D5FA9">
        <w:rPr>
          <w:rFonts w:ascii="Times New Roman" w:hAnsi="Times New Roman" w:cs="Times New Roman"/>
          <w:b/>
          <w:bCs/>
          <w:sz w:val="28"/>
          <w:szCs w:val="28"/>
          <w:lang w:val="vi-VN"/>
        </w:rPr>
        <w:t>2.000 thành viên</w:t>
      </w:r>
      <w:r w:rsidRPr="003D5FA9">
        <w:rPr>
          <w:rFonts w:ascii="Times New Roman" w:hAnsi="Times New Roman" w:cs="Times New Roman"/>
          <w:sz w:val="28"/>
          <w:szCs w:val="28"/>
          <w:lang w:val="vi-VN"/>
        </w:rPr>
        <w:t xml:space="preserve"> là chuyên gia, trí thức và doanh nhân công nghệ; đồng thời hình thành 05 mạng lưới đổi mới sáng tạo chuyên ngành trong các lĩnh vực công nghệ chiến lược như trí tuệ nhân tạo, bán dẫn, công nghệ lượng tử, công nghệ hàng không – vũ trụ và an ninh mạng. Các mạng lưới này đóng vai trò kết nối startup với nhà đầu tư, thị trường và nguồn lực quốc tế</w:t>
      </w:r>
      <w:r w:rsidR="00C33563" w:rsidRPr="003D5FA9">
        <w:rPr>
          <w:rFonts w:ascii="Times New Roman" w:hAnsi="Times New Roman" w:cs="Times New Roman"/>
          <w:sz w:val="28"/>
          <w:szCs w:val="28"/>
          <w:lang w:val="vi-VN"/>
        </w:rPr>
        <w:t xml:space="preserve">. Một số chương trình hỗ trợ khởi nghiệp đổi mới sáng tạo quy mô cụ thể, trong đó có Chương trình Google for Startups AI Bootcamp 2025 hỗ trợ </w:t>
      </w:r>
      <w:r w:rsidR="00C33563" w:rsidRPr="003D5FA9">
        <w:rPr>
          <w:rFonts w:ascii="Times New Roman" w:hAnsi="Times New Roman" w:cs="Times New Roman"/>
          <w:b/>
          <w:bCs/>
          <w:sz w:val="28"/>
          <w:szCs w:val="28"/>
          <w:lang w:val="vi-VN"/>
        </w:rPr>
        <w:t>100 doanh nghiệp khởi nghiệp (200 nhà phát triển)</w:t>
      </w:r>
      <w:r w:rsidR="00C33563" w:rsidRPr="003D5FA9">
        <w:rPr>
          <w:rFonts w:ascii="Times New Roman" w:hAnsi="Times New Roman" w:cs="Times New Roman"/>
          <w:sz w:val="28"/>
          <w:szCs w:val="28"/>
          <w:lang w:val="vi-VN"/>
        </w:rPr>
        <w:t xml:space="preserve"> và Google for Startups AI Solutions Lab 2025 với sự tham gia của </w:t>
      </w:r>
      <w:r w:rsidR="00C33563" w:rsidRPr="003D5FA9">
        <w:rPr>
          <w:rFonts w:ascii="Times New Roman" w:hAnsi="Times New Roman" w:cs="Times New Roman"/>
          <w:b/>
          <w:bCs/>
          <w:sz w:val="28"/>
          <w:szCs w:val="28"/>
          <w:lang w:val="vi-VN"/>
        </w:rPr>
        <w:t>50 doanh nghiệp khởi nghiệp</w:t>
      </w:r>
      <w:r w:rsidR="00C33563" w:rsidRPr="003D5FA9">
        <w:rPr>
          <w:rFonts w:ascii="Times New Roman" w:hAnsi="Times New Roman" w:cs="Times New Roman"/>
          <w:sz w:val="28"/>
          <w:szCs w:val="28"/>
          <w:lang w:val="vi-VN"/>
        </w:rPr>
        <w:t>, tập trung phát triển các giải pháp trí tuệ nhân tạo phục vụ bài toán thực tiễn.</w:t>
      </w:r>
    </w:p>
    <w:p w14:paraId="47C097EF" w14:textId="4A47FDAD" w:rsidR="00734F8A" w:rsidRPr="003D5FA9" w:rsidRDefault="00C709B4" w:rsidP="00734F8A">
      <w:pPr>
        <w:ind w:firstLine="720"/>
        <w:jc w:val="both"/>
        <w:rPr>
          <w:rFonts w:ascii="Times New Roman" w:hAnsi="Times New Roman" w:cs="Times New Roman"/>
          <w:i/>
          <w:iCs/>
          <w:sz w:val="28"/>
          <w:szCs w:val="28"/>
        </w:rPr>
      </w:pPr>
      <w:r w:rsidRPr="003D5FA9">
        <w:rPr>
          <w:rFonts w:ascii="Times New Roman" w:hAnsi="Times New Roman" w:cs="Times New Roman"/>
          <w:i/>
          <w:iCs/>
          <w:sz w:val="28"/>
          <w:szCs w:val="28"/>
        </w:rPr>
        <w:t>1</w:t>
      </w:r>
      <w:r w:rsidR="00734F8A" w:rsidRPr="003D5FA9">
        <w:rPr>
          <w:rFonts w:ascii="Times New Roman" w:hAnsi="Times New Roman" w:cs="Times New Roman"/>
          <w:i/>
          <w:iCs/>
          <w:sz w:val="28"/>
          <w:szCs w:val="28"/>
        </w:rPr>
        <w:t>.4. Nền tảng và công cụ hỗ trợ ĐMST, CĐS</w:t>
      </w:r>
    </w:p>
    <w:p w14:paraId="7F5C5515" w14:textId="3BDE517D" w:rsidR="00467CE0" w:rsidRPr="003D5FA9" w:rsidRDefault="00467CE0" w:rsidP="00467CE0">
      <w:pPr>
        <w:tabs>
          <w:tab w:val="left" w:pos="720"/>
        </w:tabs>
        <w:spacing w:before="120" w:after="120" w:line="340" w:lineRule="exact"/>
        <w:jc w:val="both"/>
        <w:rPr>
          <w:rFonts w:ascii="Times New Roman" w:eastAsia="Times New Roman" w:hAnsi="Times New Roman" w:cs="Times New Roman"/>
          <w:b/>
          <w:bCs/>
          <w:sz w:val="28"/>
          <w:szCs w:val="28"/>
        </w:rPr>
      </w:pPr>
      <w:r w:rsidRPr="003D5FA9">
        <w:rPr>
          <w:rFonts w:ascii="Times New Roman" w:hAnsi="Times New Roman" w:cs="Times New Roman"/>
          <w:sz w:val="28"/>
          <w:szCs w:val="28"/>
        </w:rPr>
        <w:tab/>
      </w:r>
      <w:r w:rsidR="00734F8A" w:rsidRPr="003D5FA9">
        <w:rPr>
          <w:rFonts w:ascii="Times New Roman" w:hAnsi="Times New Roman" w:cs="Times New Roman"/>
          <w:sz w:val="28"/>
          <w:szCs w:val="28"/>
        </w:rPr>
        <w:t xml:space="preserve">- </w:t>
      </w:r>
      <w:r w:rsidR="00B243CF" w:rsidRPr="003D5FA9">
        <w:rPr>
          <w:rFonts w:ascii="Times New Roman" w:hAnsi="Times New Roman" w:cs="Times New Roman"/>
          <w:sz w:val="28"/>
          <w:szCs w:val="28"/>
          <w:lang w:val="vi-VN"/>
        </w:rPr>
        <w:t>C</w:t>
      </w:r>
      <w:r w:rsidR="00427498" w:rsidRPr="003D5FA9">
        <w:rPr>
          <w:rFonts w:ascii="Times New Roman" w:hAnsi="Times New Roman" w:cs="Times New Roman"/>
          <w:sz w:val="28"/>
          <w:szCs w:val="28"/>
        </w:rPr>
        <w:t>ổ</w:t>
      </w:r>
      <w:r w:rsidR="00B243CF" w:rsidRPr="003D5FA9">
        <w:rPr>
          <w:rFonts w:ascii="Times New Roman" w:hAnsi="Times New Roman" w:cs="Times New Roman"/>
          <w:sz w:val="28"/>
          <w:szCs w:val="28"/>
          <w:lang w:val="vi-VN"/>
        </w:rPr>
        <w:t>ng Sáng kiến KHCN</w:t>
      </w:r>
    </w:p>
    <w:p w14:paraId="1438F30E" w14:textId="77777777" w:rsidR="00467CE0"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Chính phủ đã chỉ đạo Bộ KH&amp;CN đã hoàn thiện các chức năng của Cổng Sáng kiến theo Thông báo Kết luận số 42-TB/TGV ngày 22/8/2025, 43-TB/TGV ngày 08/9/2025, 44-TB/TGV ngày 12/9/2025 của Tổ Giúp việc Ban Chỉ đạo Trung ương. Bộ KH&amp;CN đã giao Quỹ Phát triển khoa học và công nghệ Quốc gia tổ chức, vận Cổng Sáng kiến với các kết quả như sau:</w:t>
      </w:r>
    </w:p>
    <w:p w14:paraId="67D10D44" w14:textId="77777777" w:rsidR="00467CE0"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Bộ KH&amp;CN đã ban hành Quy chế xây dựng, quản lý, vận hành và xử lý sáng kiến trên Cổng Sáng kiến khoa học, công nghệ, đổi mới sáng tạo và chuyển đổi số tại Quyết định số 3463/QĐ-BKHCN ngày 01/11/2025 đảm bảo toàn bộ quá trình tiếp nhận sáng kiến và sáng kiến đột phá theo Quyết định số 2266/QĐ-TTg ngày 14/10/2025 được xử lý trực tuyến trên Cổng Sáng kiến.</w:t>
      </w:r>
    </w:p>
    <w:p w14:paraId="59F6D7D9" w14:textId="77777777" w:rsidR="00467CE0"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Tuyên truyền, phổ biến Cổng Sáng kiến: Bộ KH&amp;CN đã phối hợp với các bộ, cơ quan ngang bộ, cơ quan thuộc Chính phủ, Sở KH&amp;CN các tỉnh, thành phố trực thuộc Trung ương để phổ biến đến toàn thể các cơ quan, đơn vị trực thuộc để tuyên truyền Cổng Sáng kiến trên Cổng, trang thông tin điện tử của các đơn vị. Tổ chức hội thảo thảo với các trường đại học, viện nghiên cứu để giới thiệu, hướng dẫn nộp sáng kiến. Hiện nay, Cổng Sáng kiến đã thu hút và tiếp nhận hơn 1.000 sáng kiến các loại, trong đó có nhiều sáng kiến đã được tài trợ kinh phí thông qua nhiệm vụ khoa học và công nghệ (309 sáng kiến).</w:t>
      </w:r>
    </w:p>
    <w:p w14:paraId="6DC37A1E" w14:textId="77777777" w:rsidR="00467CE0"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 xml:space="preserve">Hỗ trợ pháp lý: tích hợp quy trình bảo hộ Sở hữu trí tuệ đảm bảo kết nối liên thống với hệ thống của Cục SHTT; </w:t>
      </w:r>
    </w:p>
    <w:p w14:paraId="7F30CC60" w14:textId="77777777" w:rsidR="00467CE0"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 xml:space="preserve">Về cơ chế tích hợp, chia sẻ: Cổng Sáng kiến đã tích hợp dịch vụ đăng nhập một lần với VNeID, tích hợp và chia sẻ dữ liệu với các hệ thống: (1) Văn phòng </w:t>
      </w:r>
      <w:r w:rsidRPr="003D5FA9">
        <w:rPr>
          <w:rFonts w:ascii="Times New Roman" w:eastAsia="Times New Roman" w:hAnsi="Times New Roman" w:cs="Times New Roman"/>
          <w:sz w:val="28"/>
          <w:szCs w:val="28"/>
          <w:lang w:val="en"/>
        </w:rPr>
        <w:lastRenderedPageBreak/>
        <w:t>Trung ương Đảng tích hợp dữ liệu, đồng bộ trạng thái sáng kiến với hệ thống pakn.nq57.vn. (2) tích hợp các dịch vụ chia sẻ dữ liệu với Cục Sở hữu trí tuệ, Cục Khởi nghiệp và Doanh nghiệp công nghệ; (3) Tích hợp với Hệ thống quản lý nhiệm vụ khoa học và công nghệ; (4) Tích hợp sáng kiến của cá nhân, tổ chức được công bố trên Cổng Sáng kiến có nhu cầu chuyển giao lên Sàn giao dịch KH&amp;CN (https://techmartvietnam.vn).</w:t>
      </w:r>
    </w:p>
    <w:p w14:paraId="0E1D8C45" w14:textId="77777777" w:rsidR="00467CE0"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Về tích hợp AI trong việc hỗ trợ, tiếp nhận, phân loại sáng kiến: Cổng sáng kiến đã tích hợp AI để hỗ trợ hỏi đáp về cách thức, quy trình nộp sáng kiến trên Cổng Sáng kiến; tích hợp và thử nghiệm AI tổng hợp, phân tích sáng kiến đã nộp.</w:t>
      </w:r>
    </w:p>
    <w:p w14:paraId="1E9ADD41" w14:textId="77777777" w:rsidR="00467CE0"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Về triển khai mạng lưới Chuyên gia AI Việt toàn cầu: Cổng Sáng kiến đã hoàn thành xây dựng CSDL Chuyên gia AI Việt toàn cầu, đã mời 155 chuyên gia AI tham gia mạng lưới và tiếp mở rộng trong thời gian tới. Hệ thống cho phép cá nhân, tổ chức gửi yêu cầu tham vấn, mời tham gia đào tạo, mời tham gia nghiên cứu tới các Chuyên gia AI.</w:t>
      </w:r>
    </w:p>
    <w:p w14:paraId="03FD0616" w14:textId="3A2DFE46" w:rsidR="00734F8A" w:rsidRPr="003D5FA9" w:rsidRDefault="00467CE0" w:rsidP="00467CE0">
      <w:pPr>
        <w:spacing w:before="120" w:after="120" w:line="259" w:lineRule="auto"/>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Về cơ chế tiếp nhận – đánh giá – chia sẻ sáng kiến: Bộ KH&amp;CN đã thành lập Tổ Công tác triển khai, vận hành Cổng sáng kiến khoa học, công nghệ, đổi mới sáng tạo và chuyển đổi số tại Quyết định số 3406/QĐ-BKHCN ngày 30/10/2025..</w:t>
      </w:r>
    </w:p>
    <w:p w14:paraId="30633694" w14:textId="4DAFA1AD" w:rsidR="00B243CF" w:rsidRPr="003D5FA9" w:rsidRDefault="00B56CD0" w:rsidP="00734F8A">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 xml:space="preserve">Tính đến 12/12/2025, Cổng Sáng kiến đã tiếp nhận hơn </w:t>
      </w:r>
      <w:r w:rsidRPr="003D5FA9">
        <w:rPr>
          <w:rFonts w:ascii="Times New Roman" w:hAnsi="Times New Roman" w:cs="Times New Roman"/>
          <w:b/>
          <w:bCs/>
          <w:sz w:val="28"/>
          <w:szCs w:val="28"/>
          <w:lang w:val="vi-VN"/>
        </w:rPr>
        <w:t>1.000 sáng kiến</w:t>
      </w:r>
      <w:r w:rsidRPr="003D5FA9">
        <w:rPr>
          <w:rFonts w:ascii="Times New Roman" w:hAnsi="Times New Roman" w:cs="Times New Roman"/>
          <w:sz w:val="28"/>
          <w:szCs w:val="28"/>
          <w:lang w:val="vi-VN"/>
        </w:rPr>
        <w:t xml:space="preserve"> các loại, trong đó có </w:t>
      </w:r>
      <w:r w:rsidRPr="003D5FA9">
        <w:rPr>
          <w:rFonts w:ascii="Times New Roman" w:hAnsi="Times New Roman" w:cs="Times New Roman"/>
          <w:b/>
          <w:bCs/>
          <w:sz w:val="28"/>
          <w:szCs w:val="28"/>
          <w:lang w:val="vi-VN"/>
        </w:rPr>
        <w:t>309 sáng kiến</w:t>
      </w:r>
      <w:r w:rsidRPr="003D5FA9">
        <w:rPr>
          <w:rFonts w:ascii="Times New Roman" w:hAnsi="Times New Roman" w:cs="Times New Roman"/>
          <w:sz w:val="28"/>
          <w:szCs w:val="28"/>
          <w:lang w:val="vi-VN"/>
        </w:rPr>
        <w:t xml:space="preserve"> đã được tài trợ kinh phí thông qua nhiệm vụ khoa học và công nghệ. Riêng nhóm sáng kiến và đề xuất phục vụ công nghệ chiến lược, Cổng đã tiếp nhận và xử lý </w:t>
      </w:r>
      <w:r w:rsidRPr="003D5FA9">
        <w:rPr>
          <w:rFonts w:ascii="Times New Roman" w:hAnsi="Times New Roman" w:cs="Times New Roman"/>
          <w:b/>
          <w:bCs/>
          <w:sz w:val="28"/>
          <w:szCs w:val="28"/>
          <w:lang w:val="vi-VN"/>
        </w:rPr>
        <w:t>22 sáng kiến đột phá, 29 đề xuất công nghệ chiến lược</w:t>
      </w:r>
      <w:r w:rsidRPr="003D5FA9">
        <w:rPr>
          <w:rFonts w:ascii="Times New Roman" w:hAnsi="Times New Roman" w:cs="Times New Roman"/>
          <w:sz w:val="28"/>
          <w:szCs w:val="28"/>
          <w:lang w:val="vi-VN"/>
        </w:rPr>
        <w:t xml:space="preserve">, </w:t>
      </w:r>
      <w:r w:rsidRPr="003D5FA9">
        <w:rPr>
          <w:rFonts w:ascii="Times New Roman" w:hAnsi="Times New Roman" w:cs="Times New Roman"/>
          <w:b/>
          <w:bCs/>
          <w:sz w:val="28"/>
          <w:szCs w:val="28"/>
          <w:lang w:val="vi-VN"/>
        </w:rPr>
        <w:t>64 đề xuất tài trợ</w:t>
      </w:r>
      <w:r w:rsidRPr="003D5FA9">
        <w:rPr>
          <w:rFonts w:ascii="Times New Roman" w:hAnsi="Times New Roman" w:cs="Times New Roman"/>
          <w:sz w:val="28"/>
          <w:szCs w:val="28"/>
          <w:lang w:val="vi-VN"/>
        </w:rPr>
        <w:t xml:space="preserve"> đề tài tiềm năng phát triển công nghệ chiến lược và </w:t>
      </w:r>
      <w:r w:rsidRPr="003D5FA9">
        <w:rPr>
          <w:rFonts w:ascii="Times New Roman" w:hAnsi="Times New Roman" w:cs="Times New Roman"/>
          <w:b/>
          <w:bCs/>
          <w:sz w:val="28"/>
          <w:szCs w:val="28"/>
          <w:lang w:val="vi-VN"/>
        </w:rPr>
        <w:t>907 đề xuất tài trợ nghiên cứu, trong đó 309 đề xuất được tài trợ</w:t>
      </w:r>
      <w:r w:rsidRPr="003D5FA9">
        <w:rPr>
          <w:rFonts w:ascii="Times New Roman" w:hAnsi="Times New Roman" w:cs="Times New Roman"/>
          <w:sz w:val="28"/>
          <w:szCs w:val="28"/>
          <w:lang w:val="vi-VN"/>
        </w:rPr>
        <w:t>.</w:t>
      </w:r>
    </w:p>
    <w:p w14:paraId="08ACE092" w14:textId="65DA4D47" w:rsidR="00B56CD0" w:rsidRPr="003D5FA9" w:rsidRDefault="00B56CD0" w:rsidP="00734F8A">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Về chức năng hỗ trợ, Cổng Sáng kiến đã tích hợp quy trình bảo hộ sở hữu trí tuệ, bảo đảm kết nối, liên thông với hệ thống của Cục Sở hữu trí tuệ; tích hợp đăng nhập một lần với VNeID; đồng bộ dữ liệu với hệ thống pakn.nq57.vn của Văn phòng Trung ương Đảng; tích hợp với Hệ thống quản lý nhiệm vụ khoa học và công nghệ và cho phép chuyển các sáng kiến có nhu cầu thương mại hóa sang Sàn giao dịch KH&amp;CN. Đồng thời, Cổng đã tích hợp và thử nghiệm AI để hỗ trợ hỏi đáp, tiếp nhận, phân loại và phân tích sáng kiến.</w:t>
      </w:r>
    </w:p>
    <w:p w14:paraId="193CFD4A" w14:textId="77777777" w:rsidR="00FE218A" w:rsidRPr="003D5FA9" w:rsidRDefault="00734F8A" w:rsidP="00FE218A">
      <w:pPr>
        <w:spacing w:before="120" w:after="120"/>
        <w:ind w:firstLine="720"/>
        <w:jc w:val="both"/>
        <w:rPr>
          <w:rFonts w:ascii="Times New Roman" w:eastAsia="Times New Roman" w:hAnsi="Times New Roman" w:cs="Times New Roman"/>
          <w:spacing w:val="-2"/>
          <w:sz w:val="28"/>
          <w:szCs w:val="28"/>
          <w:lang w:val="en"/>
        </w:rPr>
      </w:pPr>
      <w:r w:rsidRPr="003D5FA9">
        <w:rPr>
          <w:rFonts w:ascii="Times New Roman" w:hAnsi="Times New Roman" w:cs="Times New Roman"/>
          <w:spacing w:val="-2"/>
          <w:sz w:val="28"/>
          <w:szCs w:val="28"/>
        </w:rPr>
        <w:t xml:space="preserve"> - Sàn giao dịch KH&amp;CN</w:t>
      </w:r>
      <w:r w:rsidR="00B56CD0" w:rsidRPr="003D5FA9">
        <w:rPr>
          <w:rFonts w:ascii="Times New Roman" w:hAnsi="Times New Roman" w:cs="Times New Roman"/>
          <w:spacing w:val="-2"/>
          <w:sz w:val="28"/>
          <w:szCs w:val="28"/>
          <w:lang w:val="vi-VN"/>
        </w:rPr>
        <w:t>:</w:t>
      </w:r>
      <w:r w:rsidR="005616E9" w:rsidRPr="003D5FA9">
        <w:rPr>
          <w:rFonts w:ascii="Times New Roman" w:hAnsi="Times New Roman" w:cs="Times New Roman"/>
          <w:spacing w:val="-2"/>
          <w:sz w:val="28"/>
          <w:szCs w:val="28"/>
          <w:lang w:val="vi-VN"/>
        </w:rPr>
        <w:t xml:space="preserve"> </w:t>
      </w:r>
      <w:r w:rsidR="00FE218A" w:rsidRPr="003D5FA9">
        <w:rPr>
          <w:rFonts w:ascii="Times New Roman" w:eastAsia="Times New Roman" w:hAnsi="Times New Roman" w:cs="Times New Roman"/>
          <w:spacing w:val="-2"/>
          <w:sz w:val="28"/>
          <w:szCs w:val="28"/>
          <w:lang w:val="en"/>
        </w:rPr>
        <w:t xml:space="preserve">Đã tiếp tục triển khai công tác hoàn thiện các tính năng, vận hành Sàn. Cụ thể là: (1) Hoàn thiện nền tảng kỹ thuật và các tính năng cơ bản: Hệ thống đã phát triển 5 nhóm chức năng chủ chốt: (1) Tạo gian hàng; (2) Giao dịch trực tuyến; (3) Tư vấn, dịch vụ hỗ trợ; (4) Thống kê, tổng hợp (dashboard trực quan, tích hợp phân tích dữ liệu); (5) Xây dựng và phát triển cơ sở dữ liệu. (2)  Rà soát quy trình vận hành: hoàn thiện quy trình từ đăng ký, đăng tải, giao dịch, tư vấn đến ký kết; bổ sung xác thực người dùng bằng CCCD, mã số thuế cá nhân, mã số </w:t>
      </w:r>
      <w:r w:rsidR="00FE218A" w:rsidRPr="003D5FA9">
        <w:rPr>
          <w:rFonts w:ascii="Times New Roman" w:eastAsia="Times New Roman" w:hAnsi="Times New Roman" w:cs="Times New Roman"/>
          <w:spacing w:val="-2"/>
          <w:sz w:val="28"/>
          <w:szCs w:val="28"/>
          <w:lang w:val="en"/>
        </w:rPr>
        <w:lastRenderedPageBreak/>
        <w:t>doanh nghiệp/mã số thuế doanh nghiệp; đơn giản hóa công bố công nghệ gắn với mã vạch; bổ sung cơ chế bảo mật thông tin giao dịch… (3) Tổ chức các hoạt động thu thập, đánh giá nguồn cung công nghệ đối với một số lĩnh vực mà các doanh nghiệp quan tâm; tìm kiếm, kết nối các doanh nghiệp, tổ chức, cá nhân có nhu cầu tìm mua công nghệ, thiết bị, máy móc,…, rà soát, lựa chọn, mời các chuyên gia công nghệ, pháp lý,… nhằm hỗ trợ, tư vấn cho việc giao dịch công nghệ trên sàn; thúc đẩy hợp tác với các viện trường, doanh nghiệp để phát triển nguồn cung – cầu công nghệ. (4) Triển khai kết nối, liên thông thông tin công nghệ, dữ liệu trên các sàn giao dịch khoa học, công nghệ từ Trung ương đến địa phương: Đã tổ chức hội nghị trực tuyến với các Sở KH&amp;CN có sàn giao dịch khoa học, công nghệ để thống nhất về cơ chế kết nối, liên thông dữ liệu; xây dựng quy định/hướng dẫn kết nối thông tin, dữ liệu trên các sàn từ Trung ương đến địa phương và đang triển khai việc kết nối dữ liệu giữa sàn techmartvietnam.vn với các sàn ở địa phương;. (5) Tiếp tục nghiên cứu mô hình quốc tế về tổ chức, hoạt động của Sàn: Bộ KH&amp;CN (Cục Thông tin, Thống kê) đã triển khai đoàn công tác đi Trung Quốc nghiên cứu mô hình tổ chức và hoạt động của Sàn Giao dịch công nghệ Thượng Hải (STEX), từ đó kiến nghị, đề xuất những giải pháp phát triển sàn giao dịch khoa học, công nghệ.</w:t>
      </w:r>
    </w:p>
    <w:p w14:paraId="5A556F47" w14:textId="341244EC" w:rsidR="00B56CD0" w:rsidRPr="003D5FA9" w:rsidRDefault="005616E9" w:rsidP="005616E9">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Bên cạnh việc vận hành trong nước, Bộ KH&amp;CN đã nghiên cứu mô hình tổ chức và hoạt động của Sàn Giao dịch Công nghệ Thượng Hải (STEX) thông qua các đoàn công tác quốc tế, làm cơ sở đề xuất giải pháp tiếp tục hoàn thiện mô hình tổ chức và nâng cao hiệu quả hoạt động của Sàn giao dịch khoa học và công nghệ Việt Nam trong thời gian tới</w:t>
      </w:r>
    </w:p>
    <w:p w14:paraId="5F46A151" w14:textId="1B3A275B" w:rsidR="00734F8A" w:rsidRPr="003D5FA9" w:rsidRDefault="00734F8A" w:rsidP="00734F8A">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rPr>
        <w:t>- Mạng lưới chuyên gia trong và ngoài</w:t>
      </w:r>
      <w:r w:rsidR="00271914" w:rsidRPr="003D5FA9">
        <w:rPr>
          <w:rFonts w:ascii="Times New Roman" w:hAnsi="Times New Roman" w:cs="Times New Roman"/>
          <w:sz w:val="28"/>
          <w:szCs w:val="28"/>
          <w:lang w:val="vi-VN"/>
        </w:rPr>
        <w:t>: Việc huy động chuyên gia trong và ngoài nước được triển khai theo hướng hình thành mạng lưới chuyên gia toàn cầu, kết nối chuyên gia với cơ quan quản lý, viện–trường và doanh nghiệp để tham gia tư vấn, chuyển giao, ươm tạo và phát triển sản phẩm công nghệ chiến lược. NIC đã bảo trợ thành lập 10 Mạng lưới Đổi mới sáng tạo Việt Nam tại 22 quốc gia, vùng lãnh thổ, với hơn 2.000 thành viên là chuyên gia, tổng công trình sư, kiến trúc sư trưởng trong các ngành, lĩnh vực quan trọng; đồng thời bảo trợ/tham gia thành lập 05 mạng lưới chuyên gia theo các ngành công nghệ chiến lược, gồm: Trí tuệ nhân tạo; Bán dẫn; Công nghệ lượng tử; Công nghệ hàng không–vũ trụ và thiết bị bay không người lái; An ninh mạng</w:t>
      </w:r>
      <w:r w:rsidR="00173CC9" w:rsidRPr="003D5FA9">
        <w:rPr>
          <w:rFonts w:ascii="Times New Roman" w:hAnsi="Times New Roman" w:cs="Times New Roman"/>
          <w:sz w:val="28"/>
          <w:szCs w:val="28"/>
          <w:lang w:val="vi-VN"/>
        </w:rPr>
        <w:t>.</w:t>
      </w:r>
    </w:p>
    <w:p w14:paraId="48C9E9D3" w14:textId="450EF532" w:rsidR="00173CC9" w:rsidRPr="003D5FA9" w:rsidRDefault="00173CC9" w:rsidP="00173CC9">
      <w:pPr>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 xml:space="preserve">Về nền tảng chính sách để huy động chuyên gia cho các công nghệ chiến lược hệ thống quy định đã được ban hành/hoàn thiện, trong đó có Nghị định số 231/2025/NĐ-CP </w:t>
      </w:r>
      <w:r w:rsidR="00CB6CEF" w:rsidRPr="003D5FA9">
        <w:rPr>
          <w:rFonts w:ascii="Times New Roman" w:hAnsi="Times New Roman" w:cs="Times New Roman"/>
          <w:sz w:val="28"/>
          <w:szCs w:val="28"/>
          <w:lang w:val="vi-VN"/>
        </w:rPr>
        <w:t xml:space="preserve">về </w:t>
      </w:r>
      <w:r w:rsidR="00064AD9" w:rsidRPr="003D5FA9">
        <w:rPr>
          <w:rFonts w:ascii="Times New Roman" w:hAnsi="Times New Roman" w:cs="Times New Roman"/>
          <w:sz w:val="28"/>
          <w:szCs w:val="28"/>
          <w:lang w:val="vi-VN"/>
        </w:rPr>
        <w:t xml:space="preserve">tuyển chọn, sử dụng </w:t>
      </w:r>
      <w:r w:rsidRPr="003D5FA9">
        <w:rPr>
          <w:rFonts w:ascii="Times New Roman" w:hAnsi="Times New Roman" w:cs="Times New Roman"/>
          <w:sz w:val="28"/>
          <w:szCs w:val="28"/>
          <w:lang w:val="vi-VN"/>
        </w:rPr>
        <w:t xml:space="preserve">tổng công trình sư, kiến trúc sư trưởng), Nghị định số 249/2025/NĐ-CP </w:t>
      </w:r>
      <w:r w:rsidR="00CB6CEF" w:rsidRPr="003D5FA9">
        <w:rPr>
          <w:rFonts w:ascii="Times New Roman" w:hAnsi="Times New Roman" w:cs="Times New Roman"/>
          <w:sz w:val="28"/>
          <w:szCs w:val="28"/>
          <w:lang w:val="vi-VN"/>
        </w:rPr>
        <w:t xml:space="preserve">về </w:t>
      </w:r>
      <w:r w:rsidRPr="003D5FA9">
        <w:rPr>
          <w:rFonts w:ascii="Times New Roman" w:hAnsi="Times New Roman" w:cs="Times New Roman"/>
          <w:sz w:val="28"/>
          <w:szCs w:val="28"/>
          <w:lang w:val="vi-VN"/>
        </w:rPr>
        <w:t>cơ chế, chính sách thu hút chuyên gia KH,CN,ĐMST,CĐS</w:t>
      </w:r>
      <w:r w:rsidR="00CB6CEF" w:rsidRPr="003D5FA9">
        <w:rPr>
          <w:rFonts w:ascii="Times New Roman" w:hAnsi="Times New Roman" w:cs="Times New Roman"/>
          <w:sz w:val="28"/>
          <w:szCs w:val="28"/>
          <w:lang w:val="vi-VN"/>
        </w:rPr>
        <w:t xml:space="preserve">; Nghị định số 221/2025/NĐ-CP về miễn thị thực có thời hạn </w:t>
      </w:r>
      <w:r w:rsidR="00CB6CEF" w:rsidRPr="003D5FA9">
        <w:rPr>
          <w:rFonts w:ascii="Times New Roman" w:hAnsi="Times New Roman" w:cs="Times New Roman"/>
          <w:sz w:val="28"/>
          <w:szCs w:val="28"/>
          <w:lang w:val="vi-VN"/>
        </w:rPr>
        <w:lastRenderedPageBreak/>
        <w:t>cho chuyên gia, nhà khoa học quốc tế, nhân lực công nghệ số chất lượng cao và khách mời của các viện, trường, doanh nghiệp lớn</w:t>
      </w:r>
      <w:r w:rsidRPr="003D5FA9">
        <w:rPr>
          <w:rFonts w:ascii="Times New Roman" w:hAnsi="Times New Roman" w:cs="Times New Roman"/>
          <w:sz w:val="28"/>
          <w:szCs w:val="28"/>
          <w:lang w:val="vi-VN"/>
        </w:rPr>
        <w:t xml:space="preserve">… tạo cơ sở để thu hút và trọng dụng đội ngũ chuyên gia, bao gồm cả chuyên gia Việt Nam ở nước ngoài và chuyên gia quốc tế. </w:t>
      </w:r>
    </w:p>
    <w:p w14:paraId="72296F42" w14:textId="74D55705" w:rsidR="00106672" w:rsidRPr="003D5FA9" w:rsidRDefault="00DC7899" w:rsidP="00876D31">
      <w:pPr>
        <w:widowControl w:val="0"/>
        <w:spacing w:before="120" w:after="0"/>
        <w:jc w:val="both"/>
        <w:rPr>
          <w:rFonts w:ascii="Times New Roman" w:hAnsi="Times New Roman" w:cs="Times New Roman"/>
          <w:b/>
          <w:bCs/>
          <w:sz w:val="28"/>
          <w:szCs w:val="28"/>
        </w:rPr>
      </w:pPr>
      <w:r w:rsidRPr="003D5FA9">
        <w:rPr>
          <w:rFonts w:ascii="Times New Roman" w:hAnsi="Times New Roman" w:cs="Times New Roman"/>
          <w:sz w:val="28"/>
          <w:szCs w:val="28"/>
        </w:rPr>
        <w:tab/>
      </w:r>
      <w:r w:rsidR="00C709B4" w:rsidRPr="003D5FA9">
        <w:rPr>
          <w:rFonts w:ascii="Times New Roman" w:hAnsi="Times New Roman" w:cs="Times New Roman"/>
          <w:b/>
          <w:bCs/>
          <w:sz w:val="28"/>
          <w:szCs w:val="28"/>
        </w:rPr>
        <w:t>2</w:t>
      </w:r>
      <w:r w:rsidR="00106672" w:rsidRPr="003D5FA9">
        <w:rPr>
          <w:rFonts w:ascii="Times New Roman" w:hAnsi="Times New Roman" w:cs="Times New Roman"/>
          <w:b/>
          <w:bCs/>
          <w:sz w:val="28"/>
          <w:szCs w:val="28"/>
        </w:rPr>
        <w:t xml:space="preserve">. </w:t>
      </w:r>
      <w:r w:rsidR="007E09CE" w:rsidRPr="003D5FA9">
        <w:rPr>
          <w:rFonts w:ascii="Times New Roman" w:hAnsi="Times New Roman" w:cs="Times New Roman"/>
          <w:b/>
          <w:bCs/>
          <w:sz w:val="28"/>
          <w:szCs w:val="28"/>
        </w:rPr>
        <w:t>Thúc đẩy</w:t>
      </w:r>
      <w:r w:rsidR="00626BBD" w:rsidRPr="003D5FA9">
        <w:rPr>
          <w:rFonts w:ascii="Times New Roman" w:hAnsi="Times New Roman" w:cs="Times New Roman"/>
          <w:b/>
          <w:bCs/>
          <w:sz w:val="28"/>
          <w:szCs w:val="28"/>
        </w:rPr>
        <w:t xml:space="preserve"> Chuyển đ</w:t>
      </w:r>
      <w:r w:rsidRPr="003D5FA9">
        <w:rPr>
          <w:rFonts w:ascii="Times New Roman" w:hAnsi="Times New Roman" w:cs="Times New Roman"/>
          <w:b/>
          <w:bCs/>
          <w:sz w:val="28"/>
          <w:szCs w:val="28"/>
        </w:rPr>
        <w:t>ổ</w:t>
      </w:r>
      <w:r w:rsidR="00626BBD" w:rsidRPr="003D5FA9">
        <w:rPr>
          <w:rFonts w:ascii="Times New Roman" w:hAnsi="Times New Roman" w:cs="Times New Roman"/>
          <w:b/>
          <w:bCs/>
          <w:sz w:val="28"/>
          <w:szCs w:val="28"/>
        </w:rPr>
        <w:t xml:space="preserve">i số </w:t>
      </w:r>
      <w:r w:rsidR="000B462B" w:rsidRPr="003D5FA9">
        <w:rPr>
          <w:rFonts w:ascii="Times New Roman" w:hAnsi="Times New Roman" w:cs="Times New Roman"/>
          <w:b/>
          <w:bCs/>
          <w:sz w:val="28"/>
          <w:szCs w:val="28"/>
        </w:rPr>
        <w:t xml:space="preserve"> </w:t>
      </w:r>
    </w:p>
    <w:p w14:paraId="4D4F6710" w14:textId="206253E4" w:rsidR="007E09CE" w:rsidRPr="003D5FA9" w:rsidRDefault="007E09CE" w:rsidP="00876D31">
      <w:pPr>
        <w:widowControl w:val="0"/>
        <w:spacing w:before="120" w:after="0"/>
        <w:jc w:val="both"/>
        <w:rPr>
          <w:rFonts w:ascii="Times New Roman" w:hAnsi="Times New Roman" w:cs="Times New Roman"/>
          <w:b/>
          <w:bCs/>
          <w:i/>
          <w:iCs/>
          <w:sz w:val="28"/>
          <w:szCs w:val="28"/>
        </w:rPr>
      </w:pPr>
      <w:r w:rsidRPr="003D5FA9">
        <w:rPr>
          <w:rFonts w:ascii="Times New Roman" w:hAnsi="Times New Roman" w:cs="Times New Roman"/>
          <w:b/>
          <w:bCs/>
          <w:sz w:val="28"/>
          <w:szCs w:val="28"/>
        </w:rPr>
        <w:tab/>
      </w:r>
      <w:r w:rsidR="00C709B4" w:rsidRPr="003D5FA9">
        <w:rPr>
          <w:rFonts w:ascii="Times New Roman" w:hAnsi="Times New Roman" w:cs="Times New Roman"/>
          <w:b/>
          <w:bCs/>
          <w:i/>
          <w:iCs/>
          <w:sz w:val="28"/>
          <w:szCs w:val="28"/>
        </w:rPr>
        <w:t>2</w:t>
      </w:r>
      <w:r w:rsidRPr="003D5FA9">
        <w:rPr>
          <w:rFonts w:ascii="Times New Roman" w:hAnsi="Times New Roman" w:cs="Times New Roman"/>
          <w:b/>
          <w:bCs/>
          <w:i/>
          <w:iCs/>
          <w:sz w:val="28"/>
          <w:szCs w:val="28"/>
        </w:rPr>
        <w:t>.1. Chính phủ số</w:t>
      </w:r>
    </w:p>
    <w:p w14:paraId="64427CCA" w14:textId="38BF5BE7" w:rsidR="00DB0C0E" w:rsidRPr="003D5FA9" w:rsidRDefault="000B462B" w:rsidP="00876D31">
      <w:pPr>
        <w:pStyle w:val="Heading3"/>
        <w:keepNext w:val="0"/>
        <w:keepLines w:val="0"/>
        <w:widowControl w:val="0"/>
        <w:spacing w:before="120" w:after="120"/>
        <w:ind w:firstLine="720"/>
        <w:jc w:val="both"/>
        <w:rPr>
          <w:rFonts w:ascii="Times New Roman" w:hAnsi="Times New Roman" w:cs="Times New Roman"/>
          <w:b w:val="0"/>
          <w:bCs w:val="0"/>
          <w:color w:val="auto"/>
          <w:sz w:val="28"/>
          <w:szCs w:val="28"/>
          <w:lang w:val="vi-VN"/>
        </w:rPr>
      </w:pPr>
      <w:r w:rsidRPr="003D5FA9">
        <w:rPr>
          <w:rFonts w:ascii="Times New Roman" w:hAnsi="Times New Roman" w:cs="Times New Roman"/>
          <w:b w:val="0"/>
          <w:bCs w:val="0"/>
          <w:color w:val="auto"/>
          <w:sz w:val="28"/>
          <w:szCs w:val="28"/>
        </w:rPr>
        <w:t xml:space="preserve">- </w:t>
      </w:r>
      <w:r w:rsidRPr="003D5FA9">
        <w:rPr>
          <w:rFonts w:ascii="Times New Roman" w:hAnsi="Times New Roman" w:cs="Times New Roman"/>
          <w:i/>
          <w:iCs/>
          <w:color w:val="auto"/>
          <w:sz w:val="28"/>
          <w:szCs w:val="28"/>
        </w:rPr>
        <w:t>Về liên thông, giải quyết TTHC</w:t>
      </w:r>
      <w:r w:rsidR="008073D9" w:rsidRPr="003D5FA9">
        <w:rPr>
          <w:rFonts w:ascii="Times New Roman" w:hAnsi="Times New Roman" w:cs="Times New Roman"/>
          <w:b w:val="0"/>
          <w:bCs w:val="0"/>
          <w:color w:val="auto"/>
          <w:sz w:val="28"/>
          <w:szCs w:val="28"/>
          <w:lang w:val="vi-VN"/>
        </w:rPr>
        <w:t xml:space="preserve">: </w:t>
      </w:r>
      <w:r w:rsidR="00B77BF2" w:rsidRPr="003D5FA9">
        <w:rPr>
          <w:rFonts w:ascii="Times New Roman" w:eastAsia="Calibri" w:hAnsi="Times New Roman" w:cs="Times New Roman"/>
          <w:b w:val="0"/>
          <w:iCs/>
          <w:color w:val="auto"/>
          <w:spacing w:val="-4"/>
          <w:sz w:val="28"/>
        </w:rPr>
        <w:t>Tính đến 26/11: Tỷ lệ hồ sơ trực tuyến toàn trình trên tổng hồ sơ giải quyết TTHC tháng 11/2025: 51,7%, trong đó khối bộ đạt tỷ lệ: 73,35%, khối tỉnh đạt tỷ lệ: 21,17%. So với cùng kỳ năm 2024, tỷ lệ hồ sơ trực tuyến toàn trình trên tổng hồ sơ giải quyết TTHC cả nước tháng 11/2025 tăng 12,42%.</w:t>
      </w:r>
    </w:p>
    <w:p w14:paraId="0A962285" w14:textId="77777777" w:rsidR="00085E9B" w:rsidRPr="003D5FA9" w:rsidRDefault="00DB0C0E" w:rsidP="00876D31">
      <w:pPr>
        <w:pStyle w:val="Heading3"/>
        <w:keepNext w:val="0"/>
        <w:keepLines w:val="0"/>
        <w:widowControl w:val="0"/>
        <w:spacing w:before="120" w:after="120"/>
        <w:ind w:firstLine="720"/>
        <w:jc w:val="both"/>
        <w:rPr>
          <w:rFonts w:ascii="Times New Roman" w:hAnsi="Times New Roman" w:cs="Times New Roman"/>
          <w:b w:val="0"/>
          <w:bCs w:val="0"/>
          <w:color w:val="auto"/>
          <w:sz w:val="28"/>
          <w:szCs w:val="28"/>
          <w:lang w:val="vi-VN"/>
        </w:rPr>
      </w:pPr>
      <w:r w:rsidRPr="003D5FA9">
        <w:rPr>
          <w:rFonts w:ascii="Times New Roman" w:hAnsi="Times New Roman" w:cs="Times New Roman"/>
          <w:b w:val="0"/>
          <w:bCs w:val="0"/>
          <w:color w:val="auto"/>
          <w:sz w:val="28"/>
          <w:szCs w:val="28"/>
          <w:lang w:val="vi-VN"/>
        </w:rPr>
        <w:t>Chính phủ đã chỉ đạo Bộ KH&amp;CN ban hành Văn bản số 5721/BKHCN-CĐSQG ngày 17/10/2025 quy định Kiến trúc Hệ thống thông tin giải quyết thủ tục hành chính cấp bộ, cấp tỉnh, làm “bản thiết kế” thống nhất để các bộ, ngành, địa phương nâng cấp, kết nối và liên thông hệ thống thông tin giải quyết TTHC từ Trung ương đến cấp xã trước 01/01/2026. Đồng thời, Bộ KH&amp;CN ban hành Văn bản số 5199/BKHCN-CĐSQG hướng dẫn sáp nhập, hợp nhất hạ tầng số, ưu tiên sử dụng hạ tầng quốc gia, tránh đầu tư trùng lặp, lãng phí trong quá trình sắp xếp đơn vị hành chính</w:t>
      </w:r>
      <w:r w:rsidR="00085E9B" w:rsidRPr="003D5FA9">
        <w:rPr>
          <w:rFonts w:ascii="Times New Roman" w:hAnsi="Times New Roman" w:cs="Times New Roman"/>
          <w:b w:val="0"/>
          <w:bCs w:val="0"/>
          <w:color w:val="auto"/>
          <w:sz w:val="28"/>
          <w:szCs w:val="28"/>
          <w:lang w:val="vi-VN"/>
        </w:rPr>
        <w:t xml:space="preserve">. </w:t>
      </w:r>
    </w:p>
    <w:p w14:paraId="7FBA07E5" w14:textId="2D185021" w:rsidR="000C19B0" w:rsidRPr="003D5FA9" w:rsidRDefault="00085E9B" w:rsidP="000C19B0">
      <w:pPr>
        <w:pStyle w:val="Heading3"/>
        <w:keepNext w:val="0"/>
        <w:keepLines w:val="0"/>
        <w:widowControl w:val="0"/>
        <w:spacing w:before="120" w:after="120"/>
        <w:ind w:firstLine="720"/>
        <w:jc w:val="both"/>
        <w:rPr>
          <w:rFonts w:ascii="Times New Roman" w:hAnsi="Times New Roman" w:cs="Times New Roman"/>
          <w:b w:val="0"/>
          <w:bCs w:val="0"/>
          <w:color w:val="auto"/>
          <w:sz w:val="28"/>
          <w:szCs w:val="28"/>
        </w:rPr>
      </w:pPr>
      <w:r w:rsidRPr="003D5FA9">
        <w:rPr>
          <w:rFonts w:ascii="Times New Roman" w:hAnsi="Times New Roman" w:cs="Times New Roman"/>
          <w:b w:val="0"/>
          <w:bCs w:val="0"/>
          <w:color w:val="auto"/>
          <w:sz w:val="28"/>
          <w:szCs w:val="28"/>
          <w:lang w:val="vi-VN"/>
        </w:rPr>
        <w:t xml:space="preserve">Đối với hạ tầng phục vụ liên thông TTHC, Chính phủ đã chỉ đạo Bộ KH&amp;CN nâng cấp Mạng truyền số liệu chuyên dùng, bảo đảm kết nối, tích hợp và chia sẻ dữ liệu giữa Cổng Dịch vụ công Quốc gia với Hệ thống thông tin giải quyết TTHC của các bộ, ngành, địa phương khi triển khai Cổng Dịch vụ công quốc gia tập trung. Mạng truyền số liệu chuyên dùng đã được triển khai đến 04 khối cơ quan (Đảng, Quốc hội, Chính phủ, Mặt trận Tổ quốc Việt Nam) từ Trung ương đến địa phương, phục vụ gửi, nhận văn bản và xử lý hồ sơ công việc mật trên Hệ thống điều hành tác nghiệp mật tại </w:t>
      </w:r>
      <w:r w:rsidRPr="003D5FA9">
        <w:rPr>
          <w:rFonts w:ascii="Times New Roman" w:hAnsi="Times New Roman" w:cs="Times New Roman"/>
          <w:color w:val="auto"/>
          <w:sz w:val="28"/>
          <w:szCs w:val="28"/>
          <w:lang w:val="vi-VN"/>
        </w:rPr>
        <w:t>22 bộ, ngành</w:t>
      </w:r>
      <w:r w:rsidRPr="003D5FA9">
        <w:rPr>
          <w:rFonts w:ascii="Times New Roman" w:hAnsi="Times New Roman" w:cs="Times New Roman"/>
          <w:b w:val="0"/>
          <w:bCs w:val="0"/>
          <w:color w:val="auto"/>
          <w:sz w:val="28"/>
          <w:szCs w:val="28"/>
          <w:lang w:val="vi-VN"/>
        </w:rPr>
        <w:t xml:space="preserve">; </w:t>
      </w:r>
      <w:r w:rsidRPr="003D5FA9">
        <w:rPr>
          <w:rFonts w:ascii="Times New Roman" w:hAnsi="Times New Roman" w:cs="Times New Roman"/>
          <w:color w:val="auto"/>
          <w:sz w:val="28"/>
          <w:szCs w:val="28"/>
          <w:lang w:val="vi-VN"/>
        </w:rPr>
        <w:t>136 điểm cấp tỉnh</w:t>
      </w:r>
      <w:r w:rsidRPr="003D5FA9">
        <w:rPr>
          <w:rFonts w:ascii="Times New Roman" w:hAnsi="Times New Roman" w:cs="Times New Roman"/>
          <w:b w:val="0"/>
          <w:bCs w:val="0"/>
          <w:color w:val="auto"/>
          <w:sz w:val="28"/>
          <w:szCs w:val="28"/>
          <w:lang w:val="vi-VN"/>
        </w:rPr>
        <w:t xml:space="preserve">; </w:t>
      </w:r>
      <w:r w:rsidRPr="003D5FA9">
        <w:rPr>
          <w:rFonts w:ascii="Times New Roman" w:hAnsi="Times New Roman" w:cs="Times New Roman"/>
          <w:color w:val="auto"/>
          <w:sz w:val="28"/>
          <w:szCs w:val="28"/>
          <w:lang w:val="vi-VN"/>
        </w:rPr>
        <w:t>425 sở, ban, ngành và 13.276 xã, phường thuộc 34 tỉnh, thành phố</w:t>
      </w:r>
      <w:r w:rsidR="00E34686" w:rsidRPr="003D5FA9">
        <w:rPr>
          <w:rFonts w:ascii="Times New Roman" w:hAnsi="Times New Roman" w:cs="Times New Roman"/>
          <w:b w:val="0"/>
          <w:bCs w:val="0"/>
          <w:color w:val="auto"/>
          <w:sz w:val="28"/>
          <w:szCs w:val="28"/>
          <w:lang w:val="vi-VN"/>
        </w:rPr>
        <w:t>.</w:t>
      </w:r>
    </w:p>
    <w:p w14:paraId="669270A1" w14:textId="77777777" w:rsidR="005D6DED" w:rsidRPr="003D5FA9" w:rsidRDefault="000C19B0" w:rsidP="005D6DED">
      <w:pPr>
        <w:spacing w:before="120" w:after="120" w:line="340" w:lineRule="exact"/>
        <w:ind w:firstLine="709"/>
        <w:jc w:val="both"/>
        <w:rPr>
          <w:rFonts w:ascii="Times New Roman" w:eastAsia="Times New Roman" w:hAnsi="Times New Roman" w:cs="Times New Roman"/>
          <w:b/>
          <w:i/>
          <w:spacing w:val="-4"/>
          <w:sz w:val="28"/>
          <w:szCs w:val="28"/>
          <w:lang w:val="en"/>
        </w:rPr>
      </w:pPr>
      <w:r w:rsidRPr="003D5FA9">
        <w:rPr>
          <w:rFonts w:ascii="Times New Roman" w:hAnsi="Times New Roman" w:cs="Times New Roman"/>
        </w:rPr>
        <w:tab/>
      </w:r>
      <w:r w:rsidR="005D6DED" w:rsidRPr="003D5FA9">
        <w:rPr>
          <w:rFonts w:ascii="Times New Roman" w:eastAsia="Times New Roman" w:hAnsi="Times New Roman" w:cs="Times New Roman"/>
          <w:b/>
          <w:i/>
          <w:spacing w:val="-4"/>
          <w:sz w:val="28"/>
          <w:szCs w:val="28"/>
          <w:lang w:val="en"/>
        </w:rPr>
        <w:t>Về việc triển khai 84 nền tảng số theo Quyết định 2618/QĐ-BKHCN:</w:t>
      </w:r>
    </w:p>
    <w:p w14:paraId="1AF7C035" w14:textId="77777777" w:rsidR="005D6DED" w:rsidRPr="003D5FA9" w:rsidRDefault="005D6DED" w:rsidP="005D6DED">
      <w:pPr>
        <w:spacing w:before="120" w:after="120" w:line="340" w:lineRule="exact"/>
        <w:ind w:firstLine="709"/>
        <w:jc w:val="both"/>
        <w:rPr>
          <w:rFonts w:ascii="Times New Roman" w:eastAsia="Times New Roman" w:hAnsi="Times New Roman" w:cs="Times New Roman"/>
          <w:bCs/>
          <w:iCs/>
          <w:spacing w:val="-4"/>
          <w:sz w:val="28"/>
          <w:szCs w:val="28"/>
          <w:lang w:val="en"/>
        </w:rPr>
      </w:pPr>
      <w:r w:rsidRPr="003D5FA9">
        <w:rPr>
          <w:rFonts w:ascii="Times New Roman" w:eastAsia="Times New Roman" w:hAnsi="Times New Roman" w:cs="Times New Roman"/>
          <w:bCs/>
          <w:iCs/>
          <w:spacing w:val="-4"/>
          <w:sz w:val="28"/>
          <w:szCs w:val="28"/>
          <w:lang w:val="en"/>
        </w:rPr>
        <w:t>+ Kết quả: (1) 39/84 nền tảng số đã xây dựng kế hoạch triển khai, trong đó, 02 nền tảng của Bộ Tư pháp đã xây dựng dự thảo quy định về phạm vi, nghiệp vụ, dịch vụ, chức năng, tính năng gửi Bộ KHCN cho ý kiến góp ý; (2) Bộ Tài chính đề xuất rút 03 nền tảng và bổ sung 01 nền tảng vào danh mục; (3) Bộ KHCN đã ban hành Kiến trúc Hệ thống thông tin giải quyết TTHC cấp bộ, cấp tỉnh.</w:t>
      </w:r>
    </w:p>
    <w:p w14:paraId="2D95846D" w14:textId="77777777" w:rsidR="005D6DED" w:rsidRPr="003D5FA9" w:rsidRDefault="005D6DED" w:rsidP="008178E7">
      <w:pPr>
        <w:spacing w:before="120" w:after="120" w:line="360" w:lineRule="exact"/>
        <w:ind w:firstLine="709"/>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Các nền tảng số của Bộ KH&amp;CN:</w:t>
      </w:r>
    </w:p>
    <w:p w14:paraId="5C0614E6" w14:textId="77777777" w:rsidR="005D6DED" w:rsidRPr="003D5FA9" w:rsidRDefault="005D6DED" w:rsidP="008178E7">
      <w:pPr>
        <w:spacing w:before="120" w:after="120" w:line="360" w:lineRule="exact"/>
        <w:ind w:firstLine="709"/>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 Hệ thống thông tin quốc gia về khoa học, công nghệ và đổi mới sáng tạo;</w:t>
      </w:r>
    </w:p>
    <w:p w14:paraId="705CAA72" w14:textId="77777777" w:rsidR="005D6DED" w:rsidRPr="003D5FA9" w:rsidRDefault="005D6DED" w:rsidP="008178E7">
      <w:pPr>
        <w:spacing w:before="120" w:after="120" w:line="360" w:lineRule="exact"/>
        <w:ind w:firstLine="709"/>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lastRenderedPageBreak/>
        <w:t>- Nền tảng/Hệ thống thông tin giải quyết thủ tục hành chính các lĩnh vực thuộc phạm vi quản lý nhà nước của Bộ Khoa học và Công nghệ;</w:t>
      </w:r>
    </w:p>
    <w:p w14:paraId="2E03D106" w14:textId="77777777" w:rsidR="005D6DED" w:rsidRPr="003D5FA9" w:rsidRDefault="005D6DED" w:rsidP="008178E7">
      <w:pPr>
        <w:spacing w:before="120" w:after="120" w:line="360" w:lineRule="exact"/>
        <w:ind w:firstLine="709"/>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 Nền tảng tích hợp, chia sẻ dữ liệu quốc gia;</w:t>
      </w:r>
    </w:p>
    <w:p w14:paraId="6376A586" w14:textId="77777777" w:rsidR="005D6DED" w:rsidRPr="003D5FA9" w:rsidRDefault="005D6DED" w:rsidP="005D6DED">
      <w:pPr>
        <w:spacing w:before="120" w:after="120" w:line="360" w:lineRule="exact"/>
        <w:ind w:firstLine="567"/>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 Nền tảng số quản lý khoa học, công nghệ và đổi mới sáng tạo quốc gia;</w:t>
      </w:r>
    </w:p>
    <w:p w14:paraId="59B8F76B" w14:textId="77777777" w:rsidR="005D6DED" w:rsidRPr="003D5FA9" w:rsidRDefault="005D6DED" w:rsidP="005D6DED">
      <w:pPr>
        <w:spacing w:before="120" w:after="120" w:line="360" w:lineRule="exact"/>
        <w:ind w:firstLine="567"/>
        <w:jc w:val="both"/>
        <w:rPr>
          <w:rFonts w:ascii="Times New Roman" w:eastAsia="Times New Roman" w:hAnsi="Times New Roman" w:cs="Times New Roman"/>
          <w:spacing w:val="6"/>
          <w:sz w:val="28"/>
          <w:szCs w:val="28"/>
          <w:lang w:val="en"/>
        </w:rPr>
      </w:pPr>
      <w:r w:rsidRPr="003D5FA9">
        <w:rPr>
          <w:rFonts w:ascii="Times New Roman" w:eastAsia="Times New Roman" w:hAnsi="Times New Roman" w:cs="Times New Roman"/>
          <w:spacing w:val="6"/>
          <w:sz w:val="28"/>
          <w:szCs w:val="28"/>
          <w:lang w:val="en"/>
        </w:rPr>
        <w:t>+ Đối với Hệ thống thông tin quốc gia về khoa học, công nghệ và đổi mới sáng tạo:</w:t>
      </w:r>
    </w:p>
    <w:p w14:paraId="27F8B9BC"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Bộ KH&amp;CN đã ban hành Thông tư số 22/2025/TT-BKHCN ngày 17/10/2025 quy định về thu thập, cập nhật, kết nối, chia sẻ, quản lý, khai thác và sử dụng dữ liệu trên Hệ thống thông tin quốc gia về khoa học, công nghệ và đổi mới sáng tạo. Thông tư này là căn cứ pháp lý quan trọng để triển khai thống nhất, đồng bộ việc xây dựng, vận hành và khai thác Hệ thống trên phạm vi toàn quốc.</w:t>
      </w:r>
    </w:p>
    <w:p w14:paraId="0BFA306D"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Hiện đang triển khai xây dựng phần mềm nền tảng quản lý Hệ thống, bao gồm các phân hệ thu thập, số hóa, tích hợp, kết nối và chia sẻ dữ liệu của ngành khoa học và công nghệ; đồng thời thực hiện kết nối với Cơ sở dữ liệu tổng hợp quốc gia theo yêu cầu tại các nhiệm vụ chuyển đổi số quốc gia. Bộ dự kiến hoàn thành, vận hành thử nghiệm và đưa Hệ thống thông tin quốc gia về KH,CN&amp;ĐMST vào sử dụng từ quý II/2026.</w:t>
      </w:r>
    </w:p>
    <w:p w14:paraId="182071E2"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 Đối với Hệ thống thông tin giải quyết thủ tục hành chính (HTTT GQTTHC):</w:t>
      </w:r>
    </w:p>
    <w:p w14:paraId="2FBDABFE"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Sau khi hợp nhất Hệ thống, Bộ KH&amp;CN đã hoàn thành cấu hình thiết lập các TTHC trên môi trường điện tử; tích hợp cung cấp dịch vụ công trực tuyến trên Cổng Dịch vụ công Quốc gia (DVCQG); đồng thời hoàn thành kết nối với Cơ sở dữ liệu quốc gia về dân cư và Cơ sở dữ liệu quốc gia về đăng ký doanh nghiệp, tạo thuận lợi cho việc tự động hóa, đối soát thông tin.</w:t>
      </w:r>
    </w:p>
    <w:p w14:paraId="1A7BEE4A"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Bộ đang triển khai kế hoạch xây dựng nền tảng giải quyết TTHC theo 02 giai đoạn, trình lãnh đạo Bộ xem xét:</w:t>
      </w:r>
    </w:p>
    <w:p w14:paraId="1F715D82"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Giai đoạn 1: Rà soát thủ tục hành chính, chuẩn hóa biểu mẫu, hợp nhất danh mục, mua sắm trang thiết bị, chuẩn bị hạ tầng.</w:t>
      </w:r>
    </w:p>
    <w:p w14:paraId="5B1D08C9"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Giai đoạn 2: Phối hợp các đơn vị liên quan để cài đặt nền tảng, chuẩn hóa dữ liệu, tích hợp, kết nối, theo đúng tinh thần Thông báo số 375/TB-BKHCN ngày 02/02/2025.</w:t>
      </w:r>
    </w:p>
    <w:p w14:paraId="03E6E895"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Bộ đã tiến hành khảo sát cơ cấu tổ chức, quy trình xử lý và thông tin liên quan đến giải quyết TTHC tại các địa phương nhằm chuẩn hóa quy trình và tích hợp vào Hệ thống thống nhất của Bộ.</w:t>
      </w:r>
    </w:p>
    <w:p w14:paraId="4C753C46"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 Đối với nền tảng tích hợp, chia sẻ dữ liệu quốc gia (NDXP):</w:t>
      </w:r>
    </w:p>
    <w:p w14:paraId="48962059" w14:textId="77777777" w:rsidR="005D6DED" w:rsidRPr="003D5FA9" w:rsidRDefault="005D6DED" w:rsidP="005D6DED">
      <w:pPr>
        <w:spacing w:before="120" w:after="120" w:line="360" w:lineRule="exact"/>
        <w:ind w:firstLine="720"/>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lastRenderedPageBreak/>
        <w:t>Nền tảng NDXP hiện vận hành ổn định, thông suốt, đóng vai trò là trục liên thông quốc gia kết nối các cơ sở dữ liệu và hệ thống thông tin của các bộ, ngành, địa phương. NDXP hỗ trợ hiệu quả việc tích hợp – chia sẻ dữ liệu, phục vụ trực tiếp cho các dịch vụ công trực tuyến, hệ thống điều hành, giám sát và các nền tảng số quốc gia.</w:t>
      </w:r>
    </w:p>
    <w:p w14:paraId="4263C4C8" w14:textId="77777777" w:rsidR="005D6DED" w:rsidRPr="003D5FA9" w:rsidRDefault="005D6DED" w:rsidP="005D6DED">
      <w:pPr>
        <w:spacing w:before="120" w:after="120" w:line="360" w:lineRule="exact"/>
        <w:ind w:firstLine="567"/>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Theo thống kê, từ 01/01/2025 đến 31/10/2025, NDXP ghi nhận 1,18 tỷ giao dịch chia sẻ dữ liệu, tăng mạnh so với cùng kỳ năm 2024, thể hiện nhu cầu khai thác dữ liệu tăng cao cũng như hiệu quả vận hành của trục tích hợp quốc gia.</w:t>
      </w:r>
    </w:p>
    <w:p w14:paraId="08810D51" w14:textId="77777777" w:rsidR="005D6DED" w:rsidRPr="003D5FA9" w:rsidRDefault="005D6DED" w:rsidP="005D6DED">
      <w:pPr>
        <w:spacing w:before="120" w:after="120" w:line="360" w:lineRule="exact"/>
        <w:ind w:firstLine="567"/>
        <w:jc w:val="both"/>
        <w:rPr>
          <w:rFonts w:ascii="Times New Roman" w:eastAsia="Times New Roman" w:hAnsi="Times New Roman" w:cs="Times New Roman"/>
          <w:spacing w:val="-8"/>
          <w:sz w:val="28"/>
          <w:szCs w:val="28"/>
          <w:lang w:val="en"/>
        </w:rPr>
      </w:pPr>
      <w:r w:rsidRPr="003D5FA9">
        <w:rPr>
          <w:rFonts w:ascii="Times New Roman" w:eastAsia="Times New Roman" w:hAnsi="Times New Roman" w:cs="Times New Roman"/>
          <w:spacing w:val="-8"/>
          <w:sz w:val="28"/>
          <w:szCs w:val="28"/>
          <w:lang w:val="en"/>
        </w:rPr>
        <w:t>+ Đối với Nền tảng số quản lý khoa học, công nghệ và đổi mới sáng tạo quốc gia:</w:t>
      </w:r>
    </w:p>
    <w:p w14:paraId="59E89C0A" w14:textId="77777777" w:rsidR="005D6DED" w:rsidRPr="003D5FA9" w:rsidRDefault="005D6DED" w:rsidP="005D6DED">
      <w:pPr>
        <w:spacing w:before="120" w:after="120" w:line="360" w:lineRule="exact"/>
        <w:ind w:firstLine="567"/>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Bộ KH&amp;CN đã tiến hành khảo sát các đơn vị liên quan, cùng một số địa phương nhằm thu thập yêu cầu nghiệp vụ, quy trình quản lý và nhu cầu khai thác dữ liệu phục vụ xây dựng nền tảng.</w:t>
      </w:r>
    </w:p>
    <w:p w14:paraId="1ED5523C" w14:textId="0793B0DF" w:rsidR="000C19B0" w:rsidRPr="003D5FA9" w:rsidRDefault="005D6DED" w:rsidP="005D6DED">
      <w:pPr>
        <w:spacing w:before="120" w:after="120" w:line="360" w:lineRule="exact"/>
        <w:ind w:firstLine="567"/>
        <w:jc w:val="both"/>
        <w:rPr>
          <w:rFonts w:ascii="Times New Roman" w:eastAsia="Times New Roman" w:hAnsi="Times New Roman" w:cs="Times New Roman"/>
          <w:b/>
          <w:iCs/>
          <w:sz w:val="28"/>
          <w:szCs w:val="28"/>
          <w:lang w:val="en"/>
        </w:rPr>
      </w:pPr>
      <w:r w:rsidRPr="003D5FA9">
        <w:rPr>
          <w:rFonts w:ascii="Times New Roman" w:eastAsia="Times New Roman" w:hAnsi="Times New Roman" w:cs="Times New Roman"/>
          <w:sz w:val="28"/>
          <w:szCs w:val="28"/>
          <w:lang w:val="en"/>
        </w:rPr>
        <w:t>Bộ đang triển khai xây dựng mô hình kiến trúc tổng thể và phân rã chức năng, tính năng, đồng thời triển khai hợp phần quản lý nhiệm vụ khoa học và công nghệ, bao gồm phân hệ quản lý đề xuất nhiệm vụ, tuyển chọn – giao trực tiếp, kiểm tra tình hình thực hiện, nghiệm thu và tổng hợp kết quả; hướng tới hình thành quy trình điện tử thống nhất toàn quốc phục vụ công tác quản lý nhiệm vụ KH&amp;CN.</w:t>
      </w:r>
      <w:r w:rsidRPr="003D5FA9">
        <w:rPr>
          <w:rFonts w:ascii="Times New Roman" w:eastAsia="Times New Roman" w:hAnsi="Times New Roman" w:cs="Times New Roman"/>
          <w:b/>
          <w:iCs/>
          <w:sz w:val="28"/>
          <w:szCs w:val="28"/>
          <w:lang w:val="en"/>
        </w:rPr>
        <w:t xml:space="preserve"> </w:t>
      </w:r>
    </w:p>
    <w:p w14:paraId="5EE96FBA" w14:textId="31DED1F6" w:rsidR="006D26FD" w:rsidRPr="003D5FA9" w:rsidRDefault="00E34686" w:rsidP="00876D31">
      <w:pPr>
        <w:pStyle w:val="Heading3"/>
        <w:keepNext w:val="0"/>
        <w:keepLines w:val="0"/>
        <w:widowControl w:val="0"/>
        <w:spacing w:before="120" w:after="120"/>
        <w:ind w:firstLine="720"/>
        <w:jc w:val="both"/>
        <w:rPr>
          <w:rFonts w:ascii="Times New Roman" w:hAnsi="Times New Roman" w:cs="Times New Roman"/>
          <w:b w:val="0"/>
          <w:bCs w:val="0"/>
          <w:color w:val="auto"/>
          <w:sz w:val="28"/>
          <w:szCs w:val="28"/>
          <w:lang w:val="vi-VN"/>
        </w:rPr>
      </w:pPr>
      <w:r w:rsidRPr="003D5FA9">
        <w:rPr>
          <w:rFonts w:ascii="Times New Roman" w:hAnsi="Times New Roman" w:cs="Times New Roman"/>
          <w:b w:val="0"/>
          <w:bCs w:val="0"/>
          <w:color w:val="auto"/>
          <w:sz w:val="28"/>
          <w:szCs w:val="28"/>
          <w:lang w:val="vi-VN"/>
        </w:rPr>
        <w:t xml:space="preserve">- </w:t>
      </w:r>
      <w:r w:rsidRPr="003D5FA9">
        <w:rPr>
          <w:rFonts w:ascii="Times New Roman" w:hAnsi="Times New Roman" w:cs="Times New Roman"/>
          <w:i/>
          <w:iCs/>
          <w:color w:val="auto"/>
          <w:sz w:val="28"/>
          <w:szCs w:val="28"/>
          <w:lang w:val="vi-VN"/>
        </w:rPr>
        <w:t>Về liên thông và khai thác Cơ sở dữ liệu quốc gia về dân cư (Đề án 06):</w:t>
      </w:r>
      <w:r w:rsidR="00E65BFF" w:rsidRPr="003D5FA9">
        <w:rPr>
          <w:rFonts w:ascii="Times New Roman" w:hAnsi="Times New Roman" w:cs="Times New Roman"/>
          <w:i/>
          <w:iCs/>
          <w:color w:val="auto"/>
          <w:sz w:val="28"/>
          <w:szCs w:val="28"/>
          <w:lang w:val="vi-VN"/>
        </w:rPr>
        <w:t xml:space="preserve"> </w:t>
      </w:r>
      <w:r w:rsidR="008A64C4" w:rsidRPr="003D5FA9">
        <w:rPr>
          <w:rFonts w:ascii="Times New Roman" w:hAnsi="Times New Roman" w:cs="Times New Roman"/>
          <w:b w:val="0"/>
          <w:bCs w:val="0"/>
          <w:color w:val="auto"/>
          <w:sz w:val="28"/>
          <w:szCs w:val="28"/>
          <w:lang w:val="vi-VN"/>
        </w:rPr>
        <w:t>Chính phủ chỉ đạo Bộ Công an và các Bộ, ngành đẩy mạnh ứng dụng VNeID là công cụ duy nhất để thực hiện thủ tục hành chính trên môi trường điện tử</w:t>
      </w:r>
      <w:r w:rsidR="00DB04D7" w:rsidRPr="003D5FA9">
        <w:rPr>
          <w:rFonts w:ascii="Times New Roman" w:eastAsiaTheme="minorEastAsia" w:hAnsi="Times New Roman" w:cs="Times New Roman"/>
          <w:b w:val="0"/>
          <w:bCs w:val="0"/>
          <w:color w:val="auto"/>
        </w:rPr>
        <w:t xml:space="preserve">. </w:t>
      </w:r>
      <w:r w:rsidR="009E6001" w:rsidRPr="003D5FA9">
        <w:rPr>
          <w:rFonts w:ascii="Times New Roman" w:hAnsi="Times New Roman" w:cs="Times New Roman"/>
          <w:b w:val="0"/>
          <w:bCs w:val="0"/>
          <w:color w:val="auto"/>
          <w:sz w:val="28"/>
          <w:szCs w:val="28"/>
        </w:rPr>
        <w:t xml:space="preserve">Hiện nay đã kết nối với </w:t>
      </w:r>
      <w:r w:rsidR="009E6001" w:rsidRPr="003D5FA9">
        <w:rPr>
          <w:rFonts w:ascii="Times New Roman" w:hAnsi="Times New Roman" w:cs="Times New Roman"/>
          <w:color w:val="auto"/>
          <w:sz w:val="28"/>
          <w:szCs w:val="28"/>
        </w:rPr>
        <w:t>05 CSDL</w:t>
      </w:r>
      <w:r w:rsidR="009E6001" w:rsidRPr="003D5FA9">
        <w:rPr>
          <w:rFonts w:ascii="Times New Roman" w:hAnsi="Times New Roman" w:cs="Times New Roman"/>
          <w:b w:val="0"/>
          <w:bCs w:val="0"/>
          <w:color w:val="auto"/>
          <w:sz w:val="28"/>
          <w:szCs w:val="28"/>
        </w:rPr>
        <w:t xml:space="preserve"> của các bộ, ngành, địa phương, tiếp nhận hơn </w:t>
      </w:r>
      <w:r w:rsidR="009E6001" w:rsidRPr="003D5FA9">
        <w:rPr>
          <w:rFonts w:ascii="Times New Roman" w:hAnsi="Times New Roman" w:cs="Times New Roman"/>
          <w:color w:val="auto"/>
          <w:sz w:val="28"/>
          <w:szCs w:val="28"/>
        </w:rPr>
        <w:t>145 triệu thông tin</w:t>
      </w:r>
      <w:r w:rsidR="009E6001" w:rsidRPr="003D5FA9">
        <w:rPr>
          <w:rFonts w:ascii="Times New Roman" w:hAnsi="Times New Roman" w:cs="Times New Roman"/>
          <w:b w:val="0"/>
          <w:bCs w:val="0"/>
          <w:color w:val="auto"/>
          <w:sz w:val="28"/>
          <w:szCs w:val="28"/>
        </w:rPr>
        <w:t>. Do các bộ, ngành, địa phương chưa hoàn thành xây dựng CSDL vì vậy chưa kết nối với Trung tâm Dữ liệu quốc gia</w:t>
      </w:r>
      <w:r w:rsidR="008A64C4" w:rsidRPr="003D5FA9">
        <w:rPr>
          <w:rFonts w:ascii="Times New Roman" w:hAnsi="Times New Roman" w:cs="Times New Roman"/>
          <w:b w:val="0"/>
          <w:bCs w:val="0"/>
          <w:color w:val="auto"/>
          <w:sz w:val="28"/>
          <w:szCs w:val="28"/>
          <w:lang w:val="vi-VN"/>
        </w:rPr>
        <w:t xml:space="preserve">. Chính phủ cũng đang chỉ đạo Bộ Công an phối hợp với Bộ Ngoại giao xây dựng lộ trình cấp tài khoản định danh điện tử (VNeID) mức độ 2 cho người nước ngoài và kết nối Cơ sở dữ liệu quốc gia về dân cư với các Cơ quan đại diện Việt Nam ở nước ngoài. Mục tiêu là đưa </w:t>
      </w:r>
      <w:r w:rsidR="008A64C4" w:rsidRPr="003D5FA9">
        <w:rPr>
          <w:rFonts w:ascii="Times New Roman" w:hAnsi="Times New Roman" w:cs="Times New Roman"/>
          <w:color w:val="auto"/>
          <w:sz w:val="28"/>
          <w:szCs w:val="28"/>
          <w:lang w:val="vi-VN"/>
        </w:rPr>
        <w:t>37 thủ tục hành chính tại nước ngoài</w:t>
      </w:r>
      <w:r w:rsidR="008A64C4" w:rsidRPr="003D5FA9">
        <w:rPr>
          <w:rFonts w:ascii="Times New Roman" w:hAnsi="Times New Roman" w:cs="Times New Roman"/>
          <w:b w:val="0"/>
          <w:bCs w:val="0"/>
          <w:color w:val="auto"/>
          <w:sz w:val="28"/>
          <w:szCs w:val="28"/>
          <w:lang w:val="vi-VN"/>
        </w:rPr>
        <w:t xml:space="preserve"> lên giải quyết hoàn toàn trên môi trường số (theo đề xuất và báo cáo của Bộ Ngoại giao)</w:t>
      </w:r>
      <w:r w:rsidR="006D26FD" w:rsidRPr="003D5FA9">
        <w:rPr>
          <w:rFonts w:ascii="Times New Roman" w:hAnsi="Times New Roman" w:cs="Times New Roman"/>
          <w:b w:val="0"/>
          <w:bCs w:val="0"/>
          <w:color w:val="auto"/>
          <w:sz w:val="28"/>
          <w:szCs w:val="28"/>
          <w:lang w:val="vi-VN"/>
        </w:rPr>
        <w:t xml:space="preserve">. </w:t>
      </w:r>
    </w:p>
    <w:p w14:paraId="46E4508C" w14:textId="4E15DAD0" w:rsidR="00A601FB" w:rsidRPr="003D5FA9" w:rsidRDefault="000B462B" w:rsidP="00A601FB">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w:t>
      </w:r>
      <w:r w:rsidR="00A601FB" w:rsidRPr="003D5FA9">
        <w:rPr>
          <w:rFonts w:ascii="Times New Roman" w:hAnsi="Times New Roman" w:cs="Times New Roman"/>
          <w:b/>
          <w:bCs/>
          <w:i/>
          <w:iCs/>
          <w:sz w:val="28"/>
          <w:szCs w:val="28"/>
        </w:rPr>
        <w:t>Về phát triển hạ tầng số</w:t>
      </w:r>
      <w:r w:rsidR="00A601FB" w:rsidRPr="003D5FA9">
        <w:rPr>
          <w:rFonts w:ascii="Times New Roman" w:hAnsi="Times New Roman" w:cs="Times New Roman"/>
          <w:sz w:val="28"/>
          <w:szCs w:val="28"/>
        </w:rPr>
        <w:t>:</w:t>
      </w:r>
    </w:p>
    <w:p w14:paraId="1C91118D" w14:textId="79053131" w:rsidR="00A601FB" w:rsidRPr="003D5FA9" w:rsidRDefault="00745F26" w:rsidP="00A601FB">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Đã hoàn thành mục tiêu chiến lược "đưa dữ liệu về nhà": Chính thức khai trương và vận hành </w:t>
      </w:r>
      <w:r w:rsidRPr="003D5FA9">
        <w:rPr>
          <w:rFonts w:ascii="Times New Roman" w:hAnsi="Times New Roman" w:cs="Times New Roman"/>
          <w:b/>
          <w:bCs/>
          <w:sz w:val="28"/>
          <w:szCs w:val="28"/>
        </w:rPr>
        <w:t>Trung tâm Dữ liệu quốc gia số 01</w:t>
      </w:r>
      <w:r w:rsidRPr="003D5FA9">
        <w:rPr>
          <w:rFonts w:ascii="Times New Roman" w:hAnsi="Times New Roman" w:cs="Times New Roman"/>
          <w:sz w:val="28"/>
          <w:szCs w:val="28"/>
        </w:rPr>
        <w:t xml:space="preserve"> vào ngày </w:t>
      </w:r>
      <w:r w:rsidRPr="003D5FA9">
        <w:rPr>
          <w:rFonts w:ascii="Times New Roman" w:hAnsi="Times New Roman" w:cs="Times New Roman"/>
          <w:b/>
          <w:bCs/>
          <w:sz w:val="28"/>
          <w:szCs w:val="28"/>
        </w:rPr>
        <w:t>18/8/2025</w:t>
      </w:r>
      <w:r w:rsidRPr="003D5FA9">
        <w:rPr>
          <w:rFonts w:ascii="Times New Roman" w:hAnsi="Times New Roman" w:cs="Times New Roman"/>
          <w:sz w:val="28"/>
          <w:szCs w:val="28"/>
        </w:rPr>
        <w:t xml:space="preserve">. Đây là hạ tầng tối mật, đạt chuẩn quốc tế để lưu trữ các dữ liệu cốt lõi của quốc gia </w:t>
      </w:r>
      <w:r w:rsidR="00A601FB" w:rsidRPr="003D5FA9">
        <w:rPr>
          <w:rFonts w:ascii="Times New Roman" w:hAnsi="Times New Roman" w:cs="Times New Roman"/>
          <w:sz w:val="28"/>
          <w:szCs w:val="28"/>
        </w:rPr>
        <w:t>Hạ tầng viễn thông</w:t>
      </w:r>
      <w:r w:rsidR="00D614B8" w:rsidRPr="003D5FA9">
        <w:rPr>
          <w:rFonts w:ascii="Times New Roman" w:hAnsi="Times New Roman" w:cs="Times New Roman"/>
          <w:sz w:val="28"/>
          <w:szCs w:val="28"/>
        </w:rPr>
        <w:t xml:space="preserve">. Ngoài ra Chính phủ đã phê duyệt kế hoạch khởi công </w:t>
      </w:r>
      <w:r w:rsidR="00D614B8" w:rsidRPr="003D5FA9">
        <w:rPr>
          <w:rFonts w:ascii="Times New Roman" w:hAnsi="Times New Roman" w:cs="Times New Roman"/>
          <w:b/>
          <w:bCs/>
          <w:sz w:val="28"/>
          <w:szCs w:val="28"/>
        </w:rPr>
        <w:t>Trung tâm Dữ liệu quốc gia số 02</w:t>
      </w:r>
      <w:r w:rsidR="00D614B8" w:rsidRPr="003D5FA9">
        <w:rPr>
          <w:rFonts w:ascii="Times New Roman" w:hAnsi="Times New Roman" w:cs="Times New Roman"/>
          <w:sz w:val="28"/>
          <w:szCs w:val="28"/>
        </w:rPr>
        <w:t xml:space="preserve"> ngay trong Quý I/2026 để đảm bảo tính dự phòng và an toàn tuyệt đối cho hệ thống.</w:t>
      </w:r>
    </w:p>
    <w:p w14:paraId="7EE995D6" w14:textId="11F010DE" w:rsidR="00A601FB" w:rsidRPr="003D5FA9" w:rsidRDefault="00D614B8" w:rsidP="0098184F">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rPr>
        <w:t>Về Hạ tầng Viễn thông</w:t>
      </w:r>
      <w:r w:rsidR="00E947F0" w:rsidRPr="003D5FA9">
        <w:rPr>
          <w:rFonts w:ascii="Times New Roman" w:hAnsi="Times New Roman" w:cs="Times New Roman"/>
          <w:sz w:val="28"/>
          <w:szCs w:val="28"/>
        </w:rPr>
        <w:t xml:space="preserve">, tính đến tháng 12/2025, tỷ lệ phủ sóng 5G đạt </w:t>
      </w:r>
      <w:r w:rsidR="008E7D2E" w:rsidRPr="003D5FA9">
        <w:rPr>
          <w:rFonts w:ascii="Times New Roman" w:hAnsi="Times New Roman" w:cs="Times New Roman"/>
          <w:b/>
          <w:bCs/>
          <w:sz w:val="28"/>
          <w:szCs w:val="28"/>
        </w:rPr>
        <w:t>58,9</w:t>
      </w:r>
      <w:r w:rsidR="00E947F0" w:rsidRPr="003D5FA9">
        <w:rPr>
          <w:rFonts w:ascii="Times New Roman" w:hAnsi="Times New Roman" w:cs="Times New Roman"/>
          <w:b/>
          <w:bCs/>
          <w:sz w:val="28"/>
          <w:szCs w:val="28"/>
        </w:rPr>
        <w:t>%</w:t>
      </w:r>
      <w:r w:rsidR="00E947F0" w:rsidRPr="003D5FA9">
        <w:rPr>
          <w:rFonts w:ascii="Times New Roman" w:hAnsi="Times New Roman" w:cs="Times New Roman"/>
          <w:sz w:val="28"/>
          <w:szCs w:val="28"/>
        </w:rPr>
        <w:t xml:space="preserve"> dân số</w:t>
      </w:r>
      <w:r w:rsidR="00157C4C" w:rsidRPr="003D5FA9">
        <w:rPr>
          <w:rFonts w:ascii="Times New Roman" w:hAnsi="Times New Roman" w:cs="Times New Roman"/>
          <w:sz w:val="28"/>
          <w:szCs w:val="28"/>
        </w:rPr>
        <w:t xml:space="preserve">. Đưa vào hoạt động thêm </w:t>
      </w:r>
      <w:r w:rsidR="00157C4C" w:rsidRPr="003D5FA9">
        <w:rPr>
          <w:rFonts w:ascii="Times New Roman" w:hAnsi="Times New Roman" w:cs="Times New Roman"/>
          <w:b/>
          <w:bCs/>
          <w:sz w:val="28"/>
          <w:szCs w:val="28"/>
        </w:rPr>
        <w:t>03 tuyến cáp quang biển mới</w:t>
      </w:r>
      <w:r w:rsidR="00157C4C" w:rsidRPr="003D5FA9">
        <w:rPr>
          <w:rFonts w:ascii="Times New Roman" w:hAnsi="Times New Roman" w:cs="Times New Roman"/>
          <w:sz w:val="28"/>
          <w:szCs w:val="28"/>
        </w:rPr>
        <w:t xml:space="preserve">, nâng tổng dung </w:t>
      </w:r>
      <w:r w:rsidR="00157C4C" w:rsidRPr="003D5FA9">
        <w:rPr>
          <w:rFonts w:ascii="Times New Roman" w:hAnsi="Times New Roman" w:cs="Times New Roman"/>
          <w:sz w:val="28"/>
          <w:szCs w:val="28"/>
        </w:rPr>
        <w:lastRenderedPageBreak/>
        <w:t xml:space="preserve">lượng thiết kế lên </w:t>
      </w:r>
      <w:r w:rsidR="00157C4C" w:rsidRPr="003D5FA9">
        <w:rPr>
          <w:rFonts w:ascii="Times New Roman" w:hAnsi="Times New Roman" w:cs="Times New Roman"/>
          <w:b/>
          <w:bCs/>
          <w:sz w:val="28"/>
          <w:szCs w:val="28"/>
        </w:rPr>
        <w:t>198 Tbps</w:t>
      </w:r>
      <w:r w:rsidR="00157C4C" w:rsidRPr="003D5FA9">
        <w:rPr>
          <w:rFonts w:ascii="Times New Roman" w:hAnsi="Times New Roman" w:cs="Times New Roman"/>
          <w:sz w:val="28"/>
          <w:szCs w:val="28"/>
        </w:rPr>
        <w:t xml:space="preserve">, đảm bảo kết nối quốc tế an toàn, giảm thiểu rủi ro khi có sự cố đứt cáp. Chất lượng đường truyền được nâng cấp mạnh mẽ với </w:t>
      </w:r>
      <w:r w:rsidR="00157C4C" w:rsidRPr="003D5FA9">
        <w:rPr>
          <w:rFonts w:ascii="Times New Roman" w:hAnsi="Times New Roman" w:cs="Times New Roman"/>
          <w:b/>
          <w:bCs/>
          <w:sz w:val="28"/>
          <w:szCs w:val="28"/>
        </w:rPr>
        <w:t>26%</w:t>
      </w:r>
      <w:r w:rsidR="00157C4C" w:rsidRPr="003D5FA9">
        <w:rPr>
          <w:rFonts w:ascii="Times New Roman" w:hAnsi="Times New Roman" w:cs="Times New Roman"/>
          <w:sz w:val="28"/>
          <w:szCs w:val="28"/>
        </w:rPr>
        <w:t xml:space="preserve"> người dùng đã có khả năng truy nhập tốc độ siêu cao trên </w:t>
      </w:r>
      <w:r w:rsidR="00157C4C" w:rsidRPr="003D5FA9">
        <w:rPr>
          <w:rFonts w:ascii="Times New Roman" w:hAnsi="Times New Roman" w:cs="Times New Roman"/>
          <w:b/>
          <w:bCs/>
          <w:sz w:val="28"/>
          <w:szCs w:val="28"/>
        </w:rPr>
        <w:t>1Gb/s.</w:t>
      </w:r>
      <w:r w:rsidR="0098184F" w:rsidRPr="003D5FA9">
        <w:rPr>
          <w:rFonts w:ascii="Times New Roman" w:hAnsi="Times New Roman" w:cs="Times New Roman"/>
          <w:sz w:val="28"/>
          <w:szCs w:val="28"/>
        </w:rPr>
        <w:t xml:space="preserve"> </w:t>
      </w:r>
      <w:r w:rsidR="00A601FB" w:rsidRPr="003D5FA9">
        <w:rPr>
          <w:rFonts w:ascii="Times New Roman" w:hAnsi="Times New Roman" w:cs="Times New Roman"/>
          <w:sz w:val="28"/>
          <w:szCs w:val="28"/>
        </w:rPr>
        <w:t xml:space="preserve">Tốc độ băng rộng cố định của Việt Nam lọt vào </w:t>
      </w:r>
      <w:r w:rsidR="00A601FB" w:rsidRPr="003D5FA9">
        <w:rPr>
          <w:rFonts w:ascii="Times New Roman" w:hAnsi="Times New Roman" w:cs="Times New Roman"/>
          <w:b/>
          <w:bCs/>
          <w:sz w:val="28"/>
          <w:szCs w:val="28"/>
        </w:rPr>
        <w:t>Top 10</w:t>
      </w:r>
      <w:r w:rsidR="00A601FB" w:rsidRPr="003D5FA9">
        <w:rPr>
          <w:rFonts w:ascii="Times New Roman" w:hAnsi="Times New Roman" w:cs="Times New Roman"/>
          <w:sz w:val="28"/>
          <w:szCs w:val="28"/>
        </w:rPr>
        <w:t xml:space="preserve"> thế giới.</w:t>
      </w:r>
      <w:r w:rsidR="00A601FB" w:rsidRPr="003D5FA9">
        <w:rPr>
          <w:rFonts w:ascii="Times New Roman" w:hAnsi="Times New Roman" w:cs="Times New Roman"/>
          <w:sz w:val="28"/>
          <w:szCs w:val="28"/>
          <w:lang w:val="vi-VN"/>
        </w:rPr>
        <w:t xml:space="preserve"> </w:t>
      </w:r>
      <w:r w:rsidR="00A601FB" w:rsidRPr="003D5FA9">
        <w:rPr>
          <w:rFonts w:ascii="Times New Roman" w:hAnsi="Times New Roman" w:cs="Times New Roman"/>
          <w:sz w:val="28"/>
          <w:szCs w:val="28"/>
        </w:rPr>
        <w:t>Tỷ lệ sử dụng địa chỉ Internet thế hệ mới (IPv6) đạt thứ hạng cao (</w:t>
      </w:r>
      <w:r w:rsidR="00A601FB" w:rsidRPr="003D5FA9">
        <w:rPr>
          <w:rFonts w:ascii="Times New Roman" w:hAnsi="Times New Roman" w:cs="Times New Roman"/>
          <w:b/>
          <w:bCs/>
          <w:sz w:val="28"/>
          <w:szCs w:val="28"/>
        </w:rPr>
        <w:t>thứ 2 khu vực ASEAN</w:t>
      </w:r>
      <w:r w:rsidR="00A601FB" w:rsidRPr="003D5FA9">
        <w:rPr>
          <w:rFonts w:ascii="Times New Roman" w:hAnsi="Times New Roman" w:cs="Times New Roman"/>
          <w:sz w:val="28"/>
          <w:szCs w:val="28"/>
        </w:rPr>
        <w:t>).</w:t>
      </w:r>
      <w:r w:rsidR="00A601FB" w:rsidRPr="003D5FA9">
        <w:rPr>
          <w:rFonts w:ascii="Times New Roman" w:hAnsi="Times New Roman" w:cs="Times New Roman"/>
          <w:sz w:val="28"/>
          <w:szCs w:val="28"/>
          <w:lang w:val="vi-VN"/>
        </w:rPr>
        <w:t xml:space="preserve"> </w:t>
      </w:r>
    </w:p>
    <w:p w14:paraId="7CCEE635" w14:textId="71F4F412" w:rsidR="0098184F" w:rsidRPr="003D5FA9" w:rsidRDefault="0098184F" w:rsidP="0098184F">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rPr>
        <w:t>Về Nền tảng tích hợp, chia sẻ dữ liệu (NDXP):</w:t>
      </w:r>
      <w:r w:rsidR="001D1A53" w:rsidRPr="003D5FA9">
        <w:rPr>
          <w:rFonts w:ascii="Times New Roman" w:hAnsi="Times New Roman" w:cs="Times New Roman"/>
          <w:sz w:val="28"/>
          <w:szCs w:val="28"/>
        </w:rPr>
        <w:t xml:space="preserve"> Đã hoàn thành chỉ tiêu </w:t>
      </w:r>
      <w:r w:rsidR="001D1A53" w:rsidRPr="003D5FA9">
        <w:rPr>
          <w:rFonts w:ascii="Times New Roman" w:hAnsi="Times New Roman" w:cs="Times New Roman"/>
          <w:b/>
          <w:bCs/>
          <w:sz w:val="28"/>
          <w:szCs w:val="28"/>
        </w:rPr>
        <w:t>100%</w:t>
      </w:r>
      <w:r w:rsidR="001D1A53" w:rsidRPr="003D5FA9">
        <w:rPr>
          <w:rFonts w:ascii="Times New Roman" w:hAnsi="Times New Roman" w:cs="Times New Roman"/>
          <w:sz w:val="28"/>
          <w:szCs w:val="28"/>
        </w:rPr>
        <w:t xml:space="preserve"> các bộ, ngành, địa phương kết nối vào nền tảng NDXP. Riêng trong tháng 11/2025, hệ thống ghi nhận </w:t>
      </w:r>
      <w:r w:rsidR="001D1A53" w:rsidRPr="003D5FA9">
        <w:rPr>
          <w:rFonts w:ascii="Times New Roman" w:hAnsi="Times New Roman" w:cs="Times New Roman"/>
          <w:b/>
          <w:bCs/>
          <w:sz w:val="28"/>
          <w:szCs w:val="28"/>
        </w:rPr>
        <w:t>106,5 triệu giao dịch</w:t>
      </w:r>
      <w:r w:rsidR="001D1A53" w:rsidRPr="003D5FA9">
        <w:rPr>
          <w:rFonts w:ascii="Times New Roman" w:hAnsi="Times New Roman" w:cs="Times New Roman"/>
          <w:sz w:val="28"/>
          <w:szCs w:val="28"/>
        </w:rPr>
        <w:t xml:space="preserve">. Trung bình mỗi ngày có </w:t>
      </w:r>
      <w:r w:rsidR="001D1A53" w:rsidRPr="003D5FA9">
        <w:rPr>
          <w:rFonts w:ascii="Times New Roman" w:hAnsi="Times New Roman" w:cs="Times New Roman"/>
          <w:b/>
          <w:bCs/>
          <w:sz w:val="28"/>
          <w:szCs w:val="28"/>
        </w:rPr>
        <w:t>3,6 triệu lượt chia sẻ dữ liệu</w:t>
      </w:r>
      <w:r w:rsidR="001D1A53" w:rsidRPr="003D5FA9">
        <w:rPr>
          <w:rFonts w:ascii="Times New Roman" w:hAnsi="Times New Roman" w:cs="Times New Roman"/>
          <w:sz w:val="28"/>
          <w:szCs w:val="28"/>
        </w:rPr>
        <w:t xml:space="preserve"> giữa các cơ quan nhà nước, thay thế hoàn toàn việc gửi nhận văn bản giấy xác minh thủ công trước đây.</w:t>
      </w:r>
    </w:p>
    <w:p w14:paraId="28051C9D" w14:textId="64700D87" w:rsidR="000C71B6" w:rsidRPr="003D5FA9" w:rsidRDefault="000C71B6" w:rsidP="0098184F">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rPr>
        <w:t>Về An toàn thông tin</w:t>
      </w:r>
      <w:r w:rsidRPr="003D5FA9">
        <w:rPr>
          <w:rFonts w:ascii="Times New Roman" w:hAnsi="Times New Roman" w:cs="Times New Roman"/>
          <w:b/>
          <w:bCs/>
          <w:sz w:val="28"/>
          <w:szCs w:val="28"/>
        </w:rPr>
        <w:t>:</w:t>
      </w:r>
      <w:r w:rsidRPr="003D5FA9">
        <w:rPr>
          <w:rFonts w:ascii="Times New Roman" w:hAnsi="Times New Roman" w:cs="Times New Roman"/>
          <w:sz w:val="28"/>
          <w:szCs w:val="28"/>
        </w:rPr>
        <w:t xml:space="preserve"> Việt Nam tiếp tục giữ vững vị thế trên bản đồ an toàn mạng quốc tế với thứ hạng </w:t>
      </w:r>
      <w:r w:rsidRPr="003D5FA9">
        <w:rPr>
          <w:rFonts w:ascii="Times New Roman" w:hAnsi="Times New Roman" w:cs="Times New Roman"/>
          <w:b/>
          <w:bCs/>
          <w:sz w:val="28"/>
          <w:szCs w:val="28"/>
        </w:rPr>
        <w:t>17</w:t>
      </w:r>
      <w:r w:rsidRPr="003D5FA9">
        <w:rPr>
          <w:rFonts w:ascii="Times New Roman" w:hAnsi="Times New Roman" w:cs="Times New Roman"/>
          <w:sz w:val="28"/>
          <w:szCs w:val="28"/>
        </w:rPr>
        <w:t xml:space="preserve">, tiếp tục phấn đấu lọt vào </w:t>
      </w:r>
      <w:r w:rsidRPr="003D5FA9">
        <w:rPr>
          <w:rFonts w:ascii="Times New Roman" w:hAnsi="Times New Roman" w:cs="Times New Roman"/>
          <w:b/>
          <w:bCs/>
          <w:sz w:val="28"/>
          <w:szCs w:val="28"/>
        </w:rPr>
        <w:t>Top 10</w:t>
      </w:r>
      <w:r w:rsidRPr="003D5FA9">
        <w:rPr>
          <w:rFonts w:ascii="Times New Roman" w:hAnsi="Times New Roman" w:cs="Times New Roman"/>
          <w:sz w:val="28"/>
          <w:szCs w:val="28"/>
        </w:rPr>
        <w:t xml:space="preserve"> cường quốc an toàn thông tin theo mục tiêu đề ra.</w:t>
      </w:r>
    </w:p>
    <w:p w14:paraId="7D9DFD9A" w14:textId="32BB2FA0" w:rsidR="00E65BFF" w:rsidRPr="003D5FA9" w:rsidRDefault="00E65BFF" w:rsidP="00E65BFF">
      <w:pPr>
        <w:spacing w:before="120" w:after="120"/>
        <w:ind w:firstLine="720"/>
        <w:jc w:val="both"/>
        <w:rPr>
          <w:rFonts w:ascii="Times New Roman" w:hAnsi="Times New Roman" w:cs="Times New Roman"/>
          <w:spacing w:val="4"/>
          <w:sz w:val="28"/>
          <w:szCs w:val="28"/>
          <w:lang w:val="vi-VN"/>
        </w:rPr>
      </w:pPr>
      <w:r w:rsidRPr="003D5FA9">
        <w:rPr>
          <w:rFonts w:ascii="Times New Roman" w:hAnsi="Times New Roman" w:cs="Times New Roman"/>
          <w:spacing w:val="4"/>
          <w:sz w:val="28"/>
          <w:szCs w:val="28"/>
          <w:lang w:val="vi-VN"/>
        </w:rPr>
        <w:t xml:space="preserve">- </w:t>
      </w:r>
      <w:r w:rsidR="00E3706B" w:rsidRPr="003D5FA9">
        <w:rPr>
          <w:rFonts w:ascii="Times New Roman" w:hAnsi="Times New Roman" w:cs="Times New Roman"/>
          <w:b/>
          <w:bCs/>
          <w:i/>
          <w:iCs/>
          <w:spacing w:val="4"/>
          <w:sz w:val="28"/>
          <w:szCs w:val="28"/>
        </w:rPr>
        <w:t>Về xây dựng và hoàn thiện các Cơ sở dữ liệu (CSDL) quốc gia và chuyên ngành</w:t>
      </w:r>
      <w:r w:rsidR="00E3706B" w:rsidRPr="003D5FA9">
        <w:rPr>
          <w:rFonts w:ascii="Times New Roman" w:hAnsi="Times New Roman" w:cs="Times New Roman"/>
          <w:spacing w:val="4"/>
          <w:sz w:val="28"/>
          <w:szCs w:val="28"/>
        </w:rPr>
        <w:t>:</w:t>
      </w:r>
      <w:r w:rsidRPr="003D5FA9">
        <w:rPr>
          <w:rFonts w:ascii="Times New Roman" w:hAnsi="Times New Roman" w:cs="Times New Roman"/>
          <w:spacing w:val="4"/>
          <w:sz w:val="28"/>
          <w:szCs w:val="28"/>
          <w:lang w:val="vi-VN"/>
        </w:rPr>
        <w:t xml:space="preserve"> </w:t>
      </w:r>
    </w:p>
    <w:p w14:paraId="75A89798" w14:textId="3493E24B" w:rsidR="006652ED" w:rsidRPr="003D5FA9" w:rsidRDefault="005662BE" w:rsidP="006652ED">
      <w:pPr>
        <w:spacing w:after="0" w:line="240" w:lineRule="auto"/>
        <w:ind w:firstLine="720"/>
        <w:jc w:val="both"/>
        <w:rPr>
          <w:rFonts w:ascii="Times New Roman" w:eastAsia="Calibri" w:hAnsi="Times New Roman" w:cs="Times New Roman"/>
          <w:b/>
          <w:iCs/>
          <w:color w:val="000000"/>
          <w:spacing w:val="-14"/>
          <w:sz w:val="28"/>
          <w:szCs w:val="28"/>
          <w:lang w:val="vi-VN"/>
        </w:rPr>
      </w:pPr>
      <w:r w:rsidRPr="003D5FA9">
        <w:rPr>
          <w:rFonts w:ascii="Times New Roman" w:eastAsia="Calibri" w:hAnsi="Times New Roman" w:cs="Times New Roman"/>
          <w:b/>
          <w:iCs/>
          <w:color w:val="000000"/>
          <w:sz w:val="28"/>
          <w:szCs w:val="28"/>
        </w:rPr>
        <w:t>(1)</w:t>
      </w:r>
      <w:r w:rsidR="006652ED" w:rsidRPr="003D5FA9">
        <w:rPr>
          <w:rFonts w:ascii="Times New Roman" w:eastAsia="Calibri" w:hAnsi="Times New Roman" w:cs="Times New Roman"/>
          <w:b/>
          <w:iCs/>
          <w:color w:val="000000"/>
          <w:spacing w:val="-14"/>
          <w:sz w:val="28"/>
          <w:szCs w:val="28"/>
          <w:lang w:val="vi-VN"/>
        </w:rPr>
        <w:t xml:space="preserve"> Nhóm các CSDL đã có nền tảng và CSDL được hình thành tập trung</w:t>
      </w:r>
    </w:p>
    <w:p w14:paraId="5FCC9947" w14:textId="6F6E0A04" w:rsidR="006652ED" w:rsidRPr="003D5FA9" w:rsidRDefault="006652ED" w:rsidP="006652ED">
      <w:pPr>
        <w:spacing w:after="0" w:line="240" w:lineRule="auto"/>
        <w:ind w:firstLine="720"/>
        <w:jc w:val="both"/>
        <w:rPr>
          <w:rFonts w:ascii="Times New Roman" w:eastAsia="Calibri" w:hAnsi="Times New Roman" w:cs="Times New Roman"/>
          <w:bCs/>
          <w:iCs/>
          <w:color w:val="000000"/>
          <w:sz w:val="28"/>
          <w:szCs w:val="28"/>
          <w:lang w:val="vi-VN"/>
        </w:rPr>
      </w:pPr>
      <w:r w:rsidRPr="003D5FA9">
        <w:rPr>
          <w:rFonts w:ascii="Times New Roman" w:eastAsia="Calibri" w:hAnsi="Times New Roman" w:cs="Times New Roman"/>
          <w:bCs/>
          <w:iCs/>
          <w:color w:val="000000"/>
          <w:spacing w:val="8"/>
          <w:sz w:val="28"/>
          <w:szCs w:val="28"/>
          <w:lang w:val="vi-VN"/>
        </w:rPr>
        <w:t xml:space="preserve">- Gồm </w:t>
      </w:r>
      <w:r w:rsidRPr="003D5FA9">
        <w:rPr>
          <w:rFonts w:ascii="Times New Roman" w:eastAsia="Calibri" w:hAnsi="Times New Roman" w:cs="Times New Roman"/>
          <w:b/>
          <w:iCs/>
          <w:color w:val="000000"/>
          <w:spacing w:val="8"/>
          <w:sz w:val="28"/>
          <w:szCs w:val="28"/>
          <w:lang w:val="vi-VN"/>
        </w:rPr>
        <w:t>31</w:t>
      </w:r>
      <w:r w:rsidRPr="003D5FA9">
        <w:rPr>
          <w:rFonts w:ascii="Times New Roman" w:eastAsia="Calibri" w:hAnsi="Times New Roman" w:cs="Times New Roman"/>
          <w:bCs/>
          <w:iCs/>
          <w:color w:val="000000"/>
          <w:spacing w:val="8"/>
          <w:sz w:val="28"/>
          <w:szCs w:val="28"/>
          <w:lang w:val="vi-VN"/>
        </w:rPr>
        <w:t xml:space="preserve"> CSDL</w:t>
      </w:r>
      <w:r w:rsidRPr="003D5FA9">
        <w:rPr>
          <w:rFonts w:ascii="Times New Roman" w:eastAsia="Calibri" w:hAnsi="Times New Roman" w:cs="Times New Roman"/>
          <w:bCs/>
          <w:iCs/>
          <w:color w:val="000000"/>
          <w:spacing w:val="8"/>
          <w:sz w:val="28"/>
          <w:szCs w:val="28"/>
          <w:vertAlign w:val="superscript"/>
          <w:lang w:val="vi-VN"/>
        </w:rPr>
        <w:footnoteReference w:id="1"/>
      </w:r>
      <w:r w:rsidRPr="003D5FA9">
        <w:rPr>
          <w:rFonts w:ascii="Times New Roman" w:eastAsia="Calibri" w:hAnsi="Times New Roman" w:cs="Times New Roman"/>
          <w:bCs/>
          <w:iCs/>
          <w:color w:val="000000"/>
          <w:spacing w:val="8"/>
          <w:sz w:val="28"/>
          <w:szCs w:val="28"/>
          <w:lang w:val="vi-VN"/>
        </w:rPr>
        <w:t xml:space="preserve"> </w:t>
      </w:r>
      <w:r w:rsidRPr="003D5FA9">
        <w:rPr>
          <w:rFonts w:ascii="Times New Roman" w:eastAsia="Calibri" w:hAnsi="Times New Roman" w:cs="Times New Roman"/>
          <w:bCs/>
          <w:iCs/>
          <w:color w:val="000000"/>
          <w:sz w:val="28"/>
          <w:szCs w:val="28"/>
          <w:lang w:val="vi-VN"/>
        </w:rPr>
        <w:t xml:space="preserve">đã có nền tảng và CSDL được hình thành tập trung, đảm bảo hệ thống vận hành ổn định, dữ liệu </w:t>
      </w:r>
      <w:r w:rsidRPr="003D5FA9">
        <w:rPr>
          <w:rFonts w:ascii="Times New Roman" w:eastAsia="SimSun" w:hAnsi="Times New Roman" w:cs="Times New Roman"/>
          <w:color w:val="000000"/>
          <w:sz w:val="28"/>
          <w:szCs w:val="28"/>
          <w:lang w:val="vi-VN" w:eastAsia="vi-VN"/>
        </w:rPr>
        <w:t>được phát sinh từ quá trình giải quyết thủ tục hành chính, đảm bảo “đúng - đủ - sạch - sống - thống nhất - dùng chung”; sẵn sàng kết nối, liên thông, chia sẻ với CSDL tổng hợp quốc gia.</w:t>
      </w:r>
    </w:p>
    <w:p w14:paraId="47212AC2" w14:textId="24628E23" w:rsidR="006652ED" w:rsidRPr="003D5FA9" w:rsidRDefault="005662BE" w:rsidP="006652ED">
      <w:pPr>
        <w:spacing w:after="0" w:line="240" w:lineRule="auto"/>
        <w:ind w:firstLine="720"/>
        <w:jc w:val="both"/>
        <w:rPr>
          <w:rFonts w:ascii="Times New Roman" w:eastAsia="Calibri" w:hAnsi="Times New Roman" w:cs="Times New Roman"/>
          <w:b/>
          <w:iCs/>
          <w:color w:val="000000"/>
          <w:sz w:val="28"/>
          <w:szCs w:val="28"/>
          <w:lang w:val="vi-VN"/>
        </w:rPr>
      </w:pPr>
      <w:r w:rsidRPr="003D5FA9">
        <w:rPr>
          <w:rFonts w:ascii="Times New Roman" w:eastAsia="Calibri" w:hAnsi="Times New Roman" w:cs="Times New Roman"/>
          <w:b/>
          <w:iCs/>
          <w:color w:val="000000"/>
          <w:sz w:val="28"/>
          <w:szCs w:val="28"/>
        </w:rPr>
        <w:t>(</w:t>
      </w:r>
      <w:r w:rsidR="006652ED" w:rsidRPr="003D5FA9">
        <w:rPr>
          <w:rFonts w:ascii="Times New Roman" w:eastAsia="Calibri" w:hAnsi="Times New Roman" w:cs="Times New Roman"/>
          <w:b/>
          <w:iCs/>
          <w:color w:val="000000"/>
          <w:sz w:val="28"/>
          <w:szCs w:val="28"/>
          <w:lang w:val="vi-VN"/>
        </w:rPr>
        <w:t>2</w:t>
      </w:r>
      <w:r w:rsidRPr="003D5FA9">
        <w:rPr>
          <w:rFonts w:ascii="Times New Roman" w:eastAsia="Calibri" w:hAnsi="Times New Roman" w:cs="Times New Roman"/>
          <w:b/>
          <w:iCs/>
          <w:color w:val="000000"/>
          <w:sz w:val="28"/>
          <w:szCs w:val="28"/>
        </w:rPr>
        <w:t>)</w:t>
      </w:r>
      <w:r w:rsidR="006652ED" w:rsidRPr="003D5FA9">
        <w:rPr>
          <w:rFonts w:ascii="Times New Roman" w:eastAsia="Calibri" w:hAnsi="Times New Roman" w:cs="Times New Roman"/>
          <w:b/>
          <w:iCs/>
          <w:color w:val="000000"/>
          <w:sz w:val="28"/>
          <w:szCs w:val="28"/>
          <w:lang w:val="vi-VN"/>
        </w:rPr>
        <w:t xml:space="preserve"> Nhóm CSDL đang triển khai, bước đầu xây dựng nền tảng, phần mềm dùng chung</w:t>
      </w:r>
    </w:p>
    <w:p w14:paraId="5E7238E1" w14:textId="63C6B522" w:rsidR="006652ED" w:rsidRPr="003D5FA9" w:rsidRDefault="006652ED" w:rsidP="006652ED">
      <w:pPr>
        <w:spacing w:after="0" w:line="240" w:lineRule="auto"/>
        <w:ind w:firstLine="720"/>
        <w:jc w:val="both"/>
        <w:rPr>
          <w:rFonts w:ascii="Times New Roman" w:eastAsia="Calibri" w:hAnsi="Times New Roman" w:cs="Times New Roman"/>
          <w:bCs/>
          <w:iCs/>
          <w:color w:val="000000"/>
          <w:spacing w:val="-8"/>
          <w:sz w:val="28"/>
          <w:szCs w:val="28"/>
          <w:lang w:val="vi-VN"/>
        </w:rPr>
      </w:pPr>
      <w:r w:rsidRPr="003D5FA9">
        <w:rPr>
          <w:rFonts w:ascii="Times New Roman" w:eastAsia="Calibri" w:hAnsi="Times New Roman" w:cs="Times New Roman"/>
          <w:bCs/>
          <w:iCs/>
          <w:color w:val="000000"/>
          <w:spacing w:val="-8"/>
          <w:sz w:val="28"/>
          <w:szCs w:val="28"/>
          <w:lang w:val="vi-VN"/>
        </w:rPr>
        <w:t xml:space="preserve">- Gồm </w:t>
      </w:r>
      <w:r w:rsidRPr="003D5FA9">
        <w:rPr>
          <w:rFonts w:ascii="Times New Roman" w:eastAsia="Calibri" w:hAnsi="Times New Roman" w:cs="Times New Roman"/>
          <w:b/>
          <w:iCs/>
          <w:color w:val="000000"/>
          <w:spacing w:val="-8"/>
          <w:sz w:val="28"/>
          <w:szCs w:val="28"/>
          <w:lang w:val="vi-VN"/>
        </w:rPr>
        <w:t>36</w:t>
      </w:r>
      <w:r w:rsidRPr="003D5FA9">
        <w:rPr>
          <w:rFonts w:ascii="Times New Roman" w:eastAsia="Calibri" w:hAnsi="Times New Roman" w:cs="Times New Roman"/>
          <w:bCs/>
          <w:iCs/>
          <w:color w:val="000000"/>
          <w:spacing w:val="-8"/>
          <w:sz w:val="28"/>
          <w:szCs w:val="28"/>
          <w:lang w:val="vi-VN"/>
        </w:rPr>
        <w:t xml:space="preserve"> CSDL</w:t>
      </w:r>
      <w:r w:rsidRPr="003D5FA9">
        <w:rPr>
          <w:rFonts w:ascii="Times New Roman" w:eastAsia="Calibri" w:hAnsi="Times New Roman" w:cs="Times New Roman"/>
          <w:bCs/>
          <w:iCs/>
          <w:color w:val="000000"/>
          <w:spacing w:val="-8"/>
          <w:sz w:val="28"/>
          <w:szCs w:val="28"/>
          <w:vertAlign w:val="superscript"/>
          <w:lang w:val="vi-VN"/>
        </w:rPr>
        <w:footnoteReference w:id="2"/>
      </w:r>
      <w:r w:rsidRPr="003D5FA9">
        <w:rPr>
          <w:rFonts w:ascii="Times New Roman" w:eastAsia="Calibri" w:hAnsi="Times New Roman" w:cs="Times New Roman"/>
          <w:bCs/>
          <w:iCs/>
          <w:color w:val="000000"/>
          <w:spacing w:val="-8"/>
          <w:sz w:val="28"/>
          <w:szCs w:val="28"/>
          <w:lang w:val="vi-VN"/>
        </w:rPr>
        <w:t xml:space="preserve"> </w:t>
      </w:r>
      <w:r w:rsidRPr="003D5FA9">
        <w:rPr>
          <w:rFonts w:ascii="Times New Roman" w:eastAsia="Calibri" w:hAnsi="Times New Roman" w:cs="Times New Roman"/>
          <w:bCs/>
          <w:color w:val="000000"/>
          <w:spacing w:val="-4"/>
          <w:sz w:val="28"/>
          <w:szCs w:val="28"/>
          <w:lang w:val="vi-VN"/>
        </w:rPr>
        <w:t xml:space="preserve">đã được bố trí kinh phí triển khai </w:t>
      </w:r>
      <w:r w:rsidRPr="003D5FA9">
        <w:rPr>
          <w:rFonts w:ascii="Times New Roman" w:eastAsia="Calibri" w:hAnsi="Times New Roman" w:cs="Times New Roman"/>
          <w:bCs/>
          <w:i/>
          <w:iCs/>
          <w:color w:val="000000"/>
          <w:spacing w:val="-4"/>
          <w:sz w:val="28"/>
          <w:szCs w:val="28"/>
          <w:lang w:val="vi-VN"/>
        </w:rPr>
        <w:t>(do được Bộ Tài chính phân bổ kinh phí hoặc tự bố trí kinh phí chi thường xuyên)</w:t>
      </w:r>
      <w:r w:rsidRPr="003D5FA9">
        <w:rPr>
          <w:rFonts w:ascii="Times New Roman" w:eastAsia="Calibri" w:hAnsi="Times New Roman" w:cs="Times New Roman"/>
          <w:bCs/>
          <w:color w:val="000000"/>
          <w:spacing w:val="-4"/>
          <w:sz w:val="28"/>
          <w:szCs w:val="28"/>
          <w:lang w:val="vi-VN"/>
        </w:rPr>
        <w:t>, đã triển khai, bước đầu xây dựng nền tảng, phần mềm dùng chung để tạo lập, số hóa dữ liệu.</w:t>
      </w:r>
    </w:p>
    <w:p w14:paraId="5EFCF8DC" w14:textId="77777777" w:rsidR="006652ED" w:rsidRPr="003D5FA9" w:rsidRDefault="006652ED" w:rsidP="006652ED">
      <w:pPr>
        <w:spacing w:after="0" w:line="240" w:lineRule="auto"/>
        <w:jc w:val="center"/>
        <w:rPr>
          <w:rFonts w:ascii="Times New Roman" w:eastAsia="Calibri" w:hAnsi="Times New Roman" w:cs="Times New Roman"/>
          <w:bCs/>
          <w:color w:val="000000"/>
          <w:spacing w:val="-4"/>
          <w:sz w:val="28"/>
          <w:szCs w:val="28"/>
          <w:lang w:val="vi-VN"/>
        </w:rPr>
      </w:pPr>
      <w:r w:rsidRPr="003D5FA9">
        <w:rPr>
          <w:rFonts w:ascii="Times New Roman" w:eastAsia="Calibri" w:hAnsi="Times New Roman" w:cs="Times New Roman"/>
          <w:noProof/>
          <w:sz w:val="28"/>
          <w:szCs w:val="28"/>
          <w14:ligatures w14:val="standardContextual"/>
        </w:rPr>
        <w:lastRenderedPageBreak/>
        <w:drawing>
          <wp:inline distT="0" distB="0" distL="0" distR="0" wp14:anchorId="6CBA9098" wp14:editId="4C4A05AA">
            <wp:extent cx="5751830" cy="8756780"/>
            <wp:effectExtent l="0" t="0" r="1270" b="6350"/>
            <wp:docPr id="105173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39124" name=""/>
                    <pic:cNvPicPr/>
                  </pic:nvPicPr>
                  <pic:blipFill>
                    <a:blip r:embed="rId8"/>
                    <a:stretch>
                      <a:fillRect/>
                    </a:stretch>
                  </pic:blipFill>
                  <pic:spPr>
                    <a:xfrm>
                      <a:off x="0" y="0"/>
                      <a:ext cx="5762756" cy="8773414"/>
                    </a:xfrm>
                    <a:prstGeom prst="rect">
                      <a:avLst/>
                    </a:prstGeom>
                  </pic:spPr>
                </pic:pic>
              </a:graphicData>
            </a:graphic>
          </wp:inline>
        </w:drawing>
      </w:r>
      <w:r w:rsidRPr="003D5FA9">
        <w:rPr>
          <w:rFonts w:ascii="Times New Roman" w:eastAsia="Calibri" w:hAnsi="Times New Roman" w:cs="Times New Roman"/>
          <w:noProof/>
          <w:sz w:val="28"/>
          <w:szCs w:val="28"/>
          <w:lang w:val="vi-VN"/>
          <w14:ligatures w14:val="standardContextual"/>
        </w:rPr>
        <w:br w:type="page"/>
      </w:r>
    </w:p>
    <w:p w14:paraId="13752BCE" w14:textId="72FA3A97" w:rsidR="006652ED" w:rsidRPr="003D5FA9" w:rsidRDefault="006652ED" w:rsidP="006652ED">
      <w:pPr>
        <w:spacing w:after="0" w:line="240" w:lineRule="auto"/>
        <w:ind w:firstLine="567"/>
        <w:textAlignment w:val="center"/>
        <w:rPr>
          <w:rFonts w:ascii="Times New Roman" w:eastAsia="Calibri" w:hAnsi="Times New Roman" w:cs="Times New Roman"/>
          <w:b/>
          <w:bCs/>
          <w:color w:val="000000"/>
          <w:sz w:val="24"/>
          <w:szCs w:val="28"/>
          <w:lang w:val="vi-VN"/>
        </w:rPr>
      </w:pPr>
      <w:bookmarkStart w:id="1" w:name="OLE_LINK1"/>
      <w:r w:rsidRPr="003D5FA9">
        <w:rPr>
          <w:rFonts w:ascii="Times New Roman" w:eastAsia="Calibri" w:hAnsi="Times New Roman" w:cs="Times New Roman"/>
          <w:b/>
          <w:bCs/>
          <w:color w:val="000000"/>
          <w:sz w:val="24"/>
          <w:szCs w:val="28"/>
          <w:lang w:val="vi-VN"/>
        </w:rPr>
        <w:lastRenderedPageBreak/>
        <w:t>KẾT QUẢ RÀ SOÁT VIỆC XÂY DỰNG CÁC CƠ SỞ DỮ LIỆU GẮN VỚI CẮT GIẢM, ĐƠN GIẢN HOÁ THỦ TỤC HÀNH CHÍNH</w:t>
      </w:r>
    </w:p>
    <w:p w14:paraId="111E33F0" w14:textId="3BDE8F43" w:rsidR="006652ED" w:rsidRPr="003D5FA9" w:rsidRDefault="005662BE" w:rsidP="006652ED">
      <w:pPr>
        <w:spacing w:after="0" w:line="240" w:lineRule="auto"/>
        <w:ind w:firstLine="630"/>
        <w:rPr>
          <w:rFonts w:ascii="Times New Roman" w:eastAsia="Calibri" w:hAnsi="Times New Roman" w:cs="Times New Roman"/>
          <w:b/>
          <w:bCs/>
          <w:color w:val="000000"/>
          <w:sz w:val="24"/>
          <w:lang w:val="vi-VN"/>
        </w:rPr>
      </w:pPr>
      <w:r w:rsidRPr="003D5FA9">
        <w:rPr>
          <w:rFonts w:ascii="Times New Roman" w:eastAsia="Calibri" w:hAnsi="Times New Roman" w:cs="Times New Roman"/>
          <w:b/>
          <w:bCs/>
          <w:color w:val="000000"/>
          <w:sz w:val="24"/>
        </w:rPr>
        <w:t>(</w:t>
      </w:r>
      <w:r w:rsidR="006652ED" w:rsidRPr="003D5FA9">
        <w:rPr>
          <w:rFonts w:ascii="Times New Roman" w:eastAsia="Calibri" w:hAnsi="Times New Roman" w:cs="Times New Roman"/>
          <w:b/>
          <w:bCs/>
          <w:color w:val="000000"/>
          <w:sz w:val="24"/>
          <w:lang w:val="vi-VN"/>
        </w:rPr>
        <w:t>1</w:t>
      </w:r>
      <w:r w:rsidRPr="003D5FA9">
        <w:rPr>
          <w:rFonts w:ascii="Times New Roman" w:eastAsia="Calibri" w:hAnsi="Times New Roman" w:cs="Times New Roman"/>
          <w:b/>
          <w:bCs/>
          <w:color w:val="000000"/>
          <w:sz w:val="24"/>
        </w:rPr>
        <w:t>)</w:t>
      </w:r>
      <w:r w:rsidR="006652ED" w:rsidRPr="003D5FA9">
        <w:rPr>
          <w:rFonts w:ascii="Times New Roman" w:eastAsia="Calibri" w:hAnsi="Times New Roman" w:cs="Times New Roman"/>
          <w:b/>
          <w:bCs/>
          <w:color w:val="000000"/>
          <w:sz w:val="24"/>
          <w:lang w:val="vi-VN"/>
        </w:rPr>
        <w:t xml:space="preserve"> </w:t>
      </w:r>
      <w:r w:rsidR="006652ED" w:rsidRPr="003D5FA9">
        <w:rPr>
          <w:rFonts w:ascii="Times New Roman" w:eastAsia="Calibri" w:hAnsi="Times New Roman" w:cs="Times New Roman"/>
          <w:b/>
          <w:iCs/>
          <w:color w:val="000000"/>
          <w:sz w:val="24"/>
          <w:szCs w:val="28"/>
          <w:lang w:val="hu-HU"/>
        </w:rPr>
        <w:t>Các cơ sở dữ liệu được sử dụng nhiều nhất để thay thế thành phần hồ sơ trong các thủ tục hành chính</w:t>
      </w:r>
    </w:p>
    <w:p w14:paraId="4EBB3735" w14:textId="303EB112" w:rsidR="006652ED" w:rsidRPr="003D5FA9" w:rsidRDefault="006652ED" w:rsidP="006926DA">
      <w:pPr>
        <w:spacing w:after="0" w:line="240" w:lineRule="auto"/>
        <w:ind w:firstLine="630"/>
        <w:jc w:val="both"/>
        <w:rPr>
          <w:rFonts w:ascii="Times New Roman" w:eastAsia="Calibri" w:hAnsi="Times New Roman" w:cs="Times New Roman"/>
          <w:bCs/>
          <w:iCs/>
          <w:color w:val="000000"/>
          <w:spacing w:val="-4"/>
          <w:sz w:val="28"/>
          <w:szCs w:val="28"/>
          <w:lang w:val="vi-VN"/>
        </w:rPr>
      </w:pPr>
      <w:r w:rsidRPr="003D5FA9">
        <w:rPr>
          <w:rFonts w:ascii="Times New Roman" w:eastAsia="Calibri" w:hAnsi="Times New Roman" w:cs="Times New Roman"/>
          <w:bCs/>
          <w:iCs/>
          <w:color w:val="000000"/>
          <w:spacing w:val="-4"/>
          <w:sz w:val="28"/>
          <w:szCs w:val="28"/>
          <w:lang w:val="vi-VN"/>
        </w:rPr>
        <w:t xml:space="preserve">Qua rà soát, đánh giá 5.801 TTHC với 28.972 thành phần hồ sơ (TPHS), xác định có 61/116 CSDL liên quan trực tiếp đến 16.123 TPHS; trong đó: 16 CSDL thuộc nhóm đã có nền tảng và CSDL tập trung; 13 CSDL thuộc nhóm đang triển khai, cần nâng cấp, có khả năng hoàn thành trong năm 2025; 32 CSDL ở nhóm chưa triển khai, nguy cơ cao không hoàn thành trong năm 2025. </w:t>
      </w:r>
    </w:p>
    <w:p w14:paraId="7F41CEDB" w14:textId="2BD5EB90" w:rsidR="006652ED" w:rsidRPr="003D5FA9" w:rsidRDefault="006652ED" w:rsidP="006652ED">
      <w:pPr>
        <w:spacing w:after="0" w:line="240" w:lineRule="auto"/>
        <w:ind w:firstLine="630"/>
        <w:rPr>
          <w:rFonts w:ascii="Times New Roman" w:eastAsia="Calibri" w:hAnsi="Times New Roman" w:cs="Times New Roman"/>
          <w:i/>
          <w:iCs/>
          <w:color w:val="000000"/>
          <w:spacing w:val="-4"/>
          <w:sz w:val="24"/>
          <w:lang w:val="vi-VN"/>
        </w:rPr>
      </w:pPr>
      <w:r w:rsidRPr="003D5FA9">
        <w:rPr>
          <w:rFonts w:ascii="Times New Roman" w:eastAsia="Calibri" w:hAnsi="Times New Roman" w:cs="Times New Roman"/>
          <w:i/>
          <w:iCs/>
          <w:color w:val="000000"/>
          <w:spacing w:val="-4"/>
          <w:sz w:val="24"/>
          <w:lang w:val="vi-VN"/>
        </w:rPr>
        <w:t>Biểu đồ 4 thể hiện 20 CSDL có TPHS nhiều nhất, xuất hiện phổ biến nhất trong các TTHC, trong đó cao nhất là CSDL quốc gia về đăng ký doanh nghiệp (thuộc Bộ Tài chính, với 1.512 TTHC, 5.196 lượt TPHS).</w:t>
      </w:r>
    </w:p>
    <w:p w14:paraId="48BACAE7" w14:textId="77777777" w:rsidR="00CD7ED9" w:rsidRPr="003D5FA9" w:rsidRDefault="00CD7ED9" w:rsidP="006652ED">
      <w:pPr>
        <w:spacing w:after="0" w:line="240" w:lineRule="auto"/>
        <w:ind w:firstLine="630"/>
        <w:rPr>
          <w:rFonts w:ascii="Times New Roman" w:eastAsia="Calibri" w:hAnsi="Times New Roman" w:cs="Times New Roman"/>
          <w:i/>
          <w:iCs/>
          <w:color w:val="000000"/>
          <w:spacing w:val="-4"/>
          <w:sz w:val="24"/>
          <w:lang w:val="vi-VN"/>
        </w:rPr>
      </w:pPr>
    </w:p>
    <w:p w14:paraId="1AA9A943" w14:textId="77777777" w:rsidR="006652ED" w:rsidRPr="003D5FA9" w:rsidRDefault="006652ED" w:rsidP="006652ED">
      <w:pPr>
        <w:spacing w:after="0" w:line="240" w:lineRule="auto"/>
        <w:rPr>
          <w:rFonts w:ascii="Times New Roman" w:eastAsia="Calibri" w:hAnsi="Times New Roman" w:cs="Times New Roman"/>
          <w:color w:val="000000"/>
          <w:spacing w:val="-4"/>
          <w:sz w:val="24"/>
          <w:lang w:val="vi-VN"/>
        </w:rPr>
      </w:pPr>
      <w:r w:rsidRPr="003D5FA9">
        <w:rPr>
          <w:rFonts w:ascii="Times New Roman" w:eastAsia="Calibri" w:hAnsi="Times New Roman" w:cs="Times New Roman"/>
          <w:noProof/>
          <w:color w:val="000000"/>
          <w:sz w:val="24"/>
        </w:rPr>
        <w:drawing>
          <wp:inline distT="0" distB="0" distL="0" distR="0" wp14:anchorId="62D6A46F" wp14:editId="5F6F1FE6">
            <wp:extent cx="5760720" cy="5881494"/>
            <wp:effectExtent l="0" t="0" r="17780" b="11430"/>
            <wp:docPr id="206280969" name="Chart 1">
              <a:extLst xmlns:a="http://schemas.openxmlformats.org/drawingml/2006/main">
                <a:ext uri="{FF2B5EF4-FFF2-40B4-BE49-F238E27FC236}">
                  <a16:creationId xmlns:a16="http://schemas.microsoft.com/office/drawing/2014/main" id="{4002E6E9-70EE-AFDD-0834-0C41B6E8E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CF32FF" w14:textId="77777777" w:rsidR="006652ED" w:rsidRPr="003D5FA9" w:rsidRDefault="006652ED" w:rsidP="006652ED">
      <w:pPr>
        <w:spacing w:after="0" w:line="240" w:lineRule="auto"/>
        <w:ind w:firstLine="630"/>
        <w:rPr>
          <w:rFonts w:ascii="Times New Roman" w:eastAsia="Calibri" w:hAnsi="Times New Roman" w:cs="Times New Roman"/>
          <w:color w:val="000000"/>
          <w:sz w:val="24"/>
          <w:lang w:val="vi-VN"/>
        </w:rPr>
      </w:pPr>
    </w:p>
    <w:p w14:paraId="1CE461AA" w14:textId="1E2DC63A" w:rsidR="006652ED" w:rsidRPr="003D5FA9" w:rsidRDefault="006652ED" w:rsidP="006652ED">
      <w:pPr>
        <w:spacing w:after="0" w:line="240" w:lineRule="auto"/>
        <w:rPr>
          <w:rFonts w:ascii="Times New Roman" w:eastAsia="Calibri" w:hAnsi="Times New Roman" w:cs="Times New Roman"/>
          <w:bCs/>
          <w:iCs/>
          <w:color w:val="000000"/>
          <w:sz w:val="24"/>
          <w:szCs w:val="28"/>
          <w:highlight w:val="yellow"/>
          <w:lang w:val="vi-VN"/>
        </w:rPr>
      </w:pPr>
    </w:p>
    <w:p w14:paraId="4252B239" w14:textId="6CF68E0A" w:rsidR="00CD7ED9" w:rsidRPr="003D5FA9" w:rsidRDefault="00CD7ED9" w:rsidP="006652ED">
      <w:pPr>
        <w:spacing w:after="0" w:line="240" w:lineRule="auto"/>
        <w:rPr>
          <w:rFonts w:ascii="Times New Roman" w:eastAsia="Calibri" w:hAnsi="Times New Roman" w:cs="Times New Roman"/>
          <w:bCs/>
          <w:iCs/>
          <w:color w:val="000000"/>
          <w:sz w:val="24"/>
          <w:szCs w:val="28"/>
          <w:highlight w:val="yellow"/>
          <w:lang w:val="vi-VN"/>
        </w:rPr>
      </w:pPr>
    </w:p>
    <w:p w14:paraId="49B4086C" w14:textId="77777777" w:rsidR="00CD7ED9" w:rsidRPr="003D5FA9" w:rsidRDefault="00CD7ED9" w:rsidP="006652ED">
      <w:pPr>
        <w:spacing w:after="0" w:line="240" w:lineRule="auto"/>
        <w:rPr>
          <w:rFonts w:ascii="Times New Roman" w:eastAsia="Calibri" w:hAnsi="Times New Roman" w:cs="Times New Roman"/>
          <w:bCs/>
          <w:iCs/>
          <w:color w:val="000000"/>
          <w:sz w:val="24"/>
          <w:szCs w:val="28"/>
          <w:highlight w:val="yellow"/>
          <w:lang w:val="vi-VN"/>
        </w:rPr>
      </w:pPr>
    </w:p>
    <w:tbl>
      <w:tblPr>
        <w:tblW w:w="100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134"/>
        <w:gridCol w:w="1418"/>
        <w:gridCol w:w="1276"/>
        <w:gridCol w:w="1925"/>
      </w:tblGrid>
      <w:tr w:rsidR="006652ED" w:rsidRPr="003D5FA9" w14:paraId="179FCC28" w14:textId="77777777" w:rsidTr="00BE1A88">
        <w:trPr>
          <w:trHeight w:val="290"/>
        </w:trPr>
        <w:tc>
          <w:tcPr>
            <w:tcW w:w="4253" w:type="dxa"/>
            <w:vMerge w:val="restart"/>
            <w:vAlign w:val="center"/>
            <w:hideMark/>
          </w:tcPr>
          <w:p w14:paraId="00838882" w14:textId="77777777" w:rsidR="006652ED" w:rsidRPr="003D5FA9" w:rsidRDefault="006652ED" w:rsidP="006652ED">
            <w:pPr>
              <w:spacing w:after="0" w:line="240" w:lineRule="auto"/>
              <w:jc w:val="center"/>
              <w:rPr>
                <w:rFonts w:ascii="Times New Roman" w:eastAsia="Calibri" w:hAnsi="Times New Roman" w:cs="Times New Roman"/>
                <w:b/>
                <w:bCs/>
                <w:sz w:val="24"/>
              </w:rPr>
            </w:pPr>
            <w:r w:rsidRPr="003D5FA9">
              <w:rPr>
                <w:rFonts w:ascii="Times New Roman" w:eastAsia="Calibri" w:hAnsi="Times New Roman" w:cs="Times New Roman"/>
                <w:b/>
                <w:bCs/>
                <w:sz w:val="24"/>
              </w:rPr>
              <w:lastRenderedPageBreak/>
              <w:t>Tên CSDL</w:t>
            </w:r>
          </w:p>
        </w:tc>
        <w:tc>
          <w:tcPr>
            <w:tcW w:w="1134" w:type="dxa"/>
            <w:vMerge w:val="restart"/>
            <w:vAlign w:val="center"/>
            <w:hideMark/>
          </w:tcPr>
          <w:p w14:paraId="51189D38" w14:textId="77777777" w:rsidR="006652ED" w:rsidRPr="003D5FA9" w:rsidRDefault="006652ED" w:rsidP="006652ED">
            <w:pPr>
              <w:spacing w:after="0" w:line="240" w:lineRule="auto"/>
              <w:jc w:val="center"/>
              <w:rPr>
                <w:rFonts w:ascii="Times New Roman" w:eastAsia="Calibri" w:hAnsi="Times New Roman" w:cs="Times New Roman"/>
                <w:b/>
                <w:bCs/>
                <w:sz w:val="24"/>
              </w:rPr>
            </w:pPr>
            <w:r w:rsidRPr="003D5FA9">
              <w:rPr>
                <w:rFonts w:ascii="Times New Roman" w:eastAsia="Calibri" w:hAnsi="Times New Roman" w:cs="Times New Roman"/>
                <w:b/>
                <w:bCs/>
                <w:sz w:val="24"/>
              </w:rPr>
              <w:t>Số lượng TPHS có liên quan</w:t>
            </w:r>
          </w:p>
        </w:tc>
        <w:tc>
          <w:tcPr>
            <w:tcW w:w="4619" w:type="dxa"/>
            <w:gridSpan w:val="3"/>
            <w:vAlign w:val="center"/>
            <w:hideMark/>
          </w:tcPr>
          <w:p w14:paraId="38545DD0" w14:textId="77777777" w:rsidR="006652ED" w:rsidRPr="003D5FA9" w:rsidRDefault="006652ED" w:rsidP="006652ED">
            <w:pPr>
              <w:spacing w:after="0" w:line="240" w:lineRule="auto"/>
              <w:jc w:val="center"/>
              <w:rPr>
                <w:rFonts w:ascii="Times New Roman" w:eastAsia="Calibri" w:hAnsi="Times New Roman" w:cs="Times New Roman"/>
                <w:b/>
                <w:bCs/>
                <w:sz w:val="24"/>
              </w:rPr>
            </w:pPr>
            <w:r w:rsidRPr="003D5FA9">
              <w:rPr>
                <w:rFonts w:ascii="Times New Roman" w:eastAsia="Calibri" w:hAnsi="Times New Roman" w:cs="Times New Roman"/>
                <w:b/>
                <w:bCs/>
                <w:sz w:val="24"/>
              </w:rPr>
              <w:t>Số lượng TTHC có liên quan</w:t>
            </w:r>
          </w:p>
        </w:tc>
      </w:tr>
      <w:tr w:rsidR="006652ED" w:rsidRPr="003D5FA9" w14:paraId="11C32F74" w14:textId="77777777" w:rsidTr="00BE1A88">
        <w:trPr>
          <w:trHeight w:val="600"/>
        </w:trPr>
        <w:tc>
          <w:tcPr>
            <w:tcW w:w="4253" w:type="dxa"/>
            <w:vMerge/>
            <w:vAlign w:val="center"/>
            <w:hideMark/>
          </w:tcPr>
          <w:p w14:paraId="6867DAF8" w14:textId="77777777" w:rsidR="006652ED" w:rsidRPr="003D5FA9" w:rsidRDefault="006652ED" w:rsidP="006652ED">
            <w:pPr>
              <w:spacing w:after="0" w:line="240" w:lineRule="auto"/>
              <w:rPr>
                <w:rFonts w:ascii="Times New Roman" w:eastAsia="Calibri" w:hAnsi="Times New Roman" w:cs="Times New Roman"/>
                <w:b/>
                <w:bCs/>
                <w:sz w:val="24"/>
              </w:rPr>
            </w:pPr>
          </w:p>
        </w:tc>
        <w:tc>
          <w:tcPr>
            <w:tcW w:w="1134" w:type="dxa"/>
            <w:vMerge/>
            <w:vAlign w:val="center"/>
            <w:hideMark/>
          </w:tcPr>
          <w:p w14:paraId="73483E06" w14:textId="77777777" w:rsidR="006652ED" w:rsidRPr="003D5FA9" w:rsidRDefault="006652ED" w:rsidP="006652ED">
            <w:pPr>
              <w:spacing w:after="0" w:line="240" w:lineRule="auto"/>
              <w:rPr>
                <w:rFonts w:ascii="Times New Roman" w:eastAsia="Calibri" w:hAnsi="Times New Roman" w:cs="Times New Roman"/>
                <w:b/>
                <w:bCs/>
                <w:sz w:val="24"/>
              </w:rPr>
            </w:pPr>
          </w:p>
        </w:tc>
        <w:tc>
          <w:tcPr>
            <w:tcW w:w="1418" w:type="dxa"/>
            <w:vAlign w:val="center"/>
            <w:hideMark/>
          </w:tcPr>
          <w:p w14:paraId="35805588" w14:textId="77777777" w:rsidR="006652ED" w:rsidRPr="003D5FA9" w:rsidRDefault="006652ED" w:rsidP="006652ED">
            <w:pPr>
              <w:spacing w:after="0" w:line="240" w:lineRule="auto"/>
              <w:jc w:val="center"/>
              <w:rPr>
                <w:rFonts w:ascii="Times New Roman" w:eastAsia="Calibri" w:hAnsi="Times New Roman" w:cs="Times New Roman"/>
                <w:b/>
                <w:bCs/>
                <w:color w:val="000000"/>
                <w:sz w:val="24"/>
              </w:rPr>
            </w:pPr>
            <w:r w:rsidRPr="003D5FA9">
              <w:rPr>
                <w:rFonts w:ascii="Times New Roman" w:eastAsia="Calibri" w:hAnsi="Times New Roman" w:cs="Times New Roman"/>
                <w:b/>
                <w:bCs/>
                <w:color w:val="000000"/>
                <w:sz w:val="24"/>
              </w:rPr>
              <w:t>TTHC thuộc Bộ, ngành chủ quản</w:t>
            </w:r>
          </w:p>
        </w:tc>
        <w:tc>
          <w:tcPr>
            <w:tcW w:w="1276" w:type="dxa"/>
            <w:vAlign w:val="center"/>
            <w:hideMark/>
          </w:tcPr>
          <w:p w14:paraId="175E04DF" w14:textId="77777777" w:rsidR="006652ED" w:rsidRPr="003D5FA9" w:rsidRDefault="006652ED" w:rsidP="006652ED">
            <w:pPr>
              <w:spacing w:after="0" w:line="240" w:lineRule="auto"/>
              <w:jc w:val="center"/>
              <w:rPr>
                <w:rFonts w:ascii="Times New Roman" w:eastAsia="Calibri" w:hAnsi="Times New Roman" w:cs="Times New Roman"/>
                <w:b/>
                <w:bCs/>
                <w:color w:val="000000"/>
                <w:sz w:val="24"/>
              </w:rPr>
            </w:pPr>
            <w:r w:rsidRPr="003D5FA9">
              <w:rPr>
                <w:rFonts w:ascii="Times New Roman" w:eastAsia="Calibri" w:hAnsi="Times New Roman" w:cs="Times New Roman"/>
                <w:b/>
                <w:bCs/>
                <w:color w:val="000000"/>
                <w:sz w:val="24"/>
              </w:rPr>
              <w:t>TTHC thuộc Bộ, ngành khác</w:t>
            </w:r>
          </w:p>
        </w:tc>
        <w:tc>
          <w:tcPr>
            <w:tcW w:w="1925" w:type="dxa"/>
            <w:vAlign w:val="center"/>
            <w:hideMark/>
          </w:tcPr>
          <w:p w14:paraId="0CED96E9" w14:textId="77777777" w:rsidR="006652ED" w:rsidRPr="003D5FA9" w:rsidRDefault="006652ED" w:rsidP="006652ED">
            <w:pPr>
              <w:spacing w:after="0" w:line="240" w:lineRule="auto"/>
              <w:jc w:val="center"/>
              <w:rPr>
                <w:rFonts w:ascii="Times New Roman" w:eastAsia="Calibri" w:hAnsi="Times New Roman" w:cs="Times New Roman"/>
                <w:b/>
                <w:bCs/>
                <w:sz w:val="24"/>
              </w:rPr>
            </w:pPr>
            <w:r w:rsidRPr="003D5FA9">
              <w:rPr>
                <w:rFonts w:ascii="Times New Roman" w:eastAsia="Calibri" w:hAnsi="Times New Roman" w:cs="Times New Roman"/>
                <w:b/>
                <w:bCs/>
                <w:sz w:val="24"/>
              </w:rPr>
              <w:t>Tổng</w:t>
            </w:r>
          </w:p>
        </w:tc>
      </w:tr>
      <w:tr w:rsidR="006652ED" w:rsidRPr="003D5FA9" w14:paraId="49BE9F1F" w14:textId="77777777" w:rsidTr="00BE1A88">
        <w:trPr>
          <w:trHeight w:val="300"/>
        </w:trPr>
        <w:tc>
          <w:tcPr>
            <w:tcW w:w="4253" w:type="dxa"/>
            <w:vAlign w:val="center"/>
            <w:hideMark/>
          </w:tcPr>
          <w:p w14:paraId="08004192"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quốc gia về đăng ký doanh nghiệp</w:t>
            </w:r>
          </w:p>
        </w:tc>
        <w:tc>
          <w:tcPr>
            <w:tcW w:w="1134" w:type="dxa"/>
            <w:vAlign w:val="center"/>
            <w:hideMark/>
          </w:tcPr>
          <w:p w14:paraId="0CE03C02"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5196</w:t>
            </w:r>
          </w:p>
        </w:tc>
        <w:tc>
          <w:tcPr>
            <w:tcW w:w="1418" w:type="dxa"/>
            <w:vAlign w:val="center"/>
            <w:hideMark/>
          </w:tcPr>
          <w:p w14:paraId="116AD486"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399</w:t>
            </w:r>
          </w:p>
        </w:tc>
        <w:tc>
          <w:tcPr>
            <w:tcW w:w="1276" w:type="dxa"/>
            <w:vAlign w:val="center"/>
            <w:hideMark/>
          </w:tcPr>
          <w:p w14:paraId="4A67CA35"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1113</w:t>
            </w:r>
          </w:p>
        </w:tc>
        <w:tc>
          <w:tcPr>
            <w:tcW w:w="1925" w:type="dxa"/>
            <w:noWrap/>
            <w:vAlign w:val="center"/>
            <w:hideMark/>
          </w:tcPr>
          <w:p w14:paraId="0AC52F92"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1512</w:t>
            </w:r>
          </w:p>
        </w:tc>
      </w:tr>
      <w:tr w:rsidR="006652ED" w:rsidRPr="003D5FA9" w14:paraId="260C92D7" w14:textId="77777777" w:rsidTr="00BE1A88">
        <w:trPr>
          <w:trHeight w:val="300"/>
        </w:trPr>
        <w:tc>
          <w:tcPr>
            <w:tcW w:w="4253" w:type="dxa"/>
            <w:vAlign w:val="center"/>
            <w:hideMark/>
          </w:tcPr>
          <w:p w14:paraId="30EB531C"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quốc gia về xuất nhập cảnh</w:t>
            </w:r>
          </w:p>
        </w:tc>
        <w:tc>
          <w:tcPr>
            <w:tcW w:w="1134" w:type="dxa"/>
            <w:vAlign w:val="center"/>
            <w:hideMark/>
          </w:tcPr>
          <w:p w14:paraId="4EE033C2"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1495</w:t>
            </w:r>
          </w:p>
        </w:tc>
        <w:tc>
          <w:tcPr>
            <w:tcW w:w="1418" w:type="dxa"/>
            <w:vAlign w:val="center"/>
            <w:hideMark/>
          </w:tcPr>
          <w:p w14:paraId="0A2E8A79"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w:t>
            </w:r>
          </w:p>
        </w:tc>
        <w:tc>
          <w:tcPr>
            <w:tcW w:w="1276" w:type="dxa"/>
            <w:vAlign w:val="center"/>
            <w:hideMark/>
          </w:tcPr>
          <w:p w14:paraId="3682F423"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408</w:t>
            </w:r>
          </w:p>
        </w:tc>
        <w:tc>
          <w:tcPr>
            <w:tcW w:w="1925" w:type="dxa"/>
            <w:noWrap/>
            <w:vAlign w:val="center"/>
            <w:hideMark/>
          </w:tcPr>
          <w:p w14:paraId="58DCB4AF"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411</w:t>
            </w:r>
          </w:p>
        </w:tc>
      </w:tr>
      <w:tr w:rsidR="006652ED" w:rsidRPr="003D5FA9" w14:paraId="7DD069FF" w14:textId="77777777" w:rsidTr="00BE1A88">
        <w:trPr>
          <w:trHeight w:val="300"/>
        </w:trPr>
        <w:tc>
          <w:tcPr>
            <w:tcW w:w="4253" w:type="dxa"/>
            <w:vAlign w:val="center"/>
            <w:hideMark/>
          </w:tcPr>
          <w:p w14:paraId="4B69FFD9"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quốc gia về dân cư</w:t>
            </w:r>
          </w:p>
        </w:tc>
        <w:tc>
          <w:tcPr>
            <w:tcW w:w="1134" w:type="dxa"/>
            <w:vAlign w:val="center"/>
            <w:hideMark/>
          </w:tcPr>
          <w:p w14:paraId="3C88F515"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1260</w:t>
            </w:r>
          </w:p>
        </w:tc>
        <w:tc>
          <w:tcPr>
            <w:tcW w:w="1418" w:type="dxa"/>
            <w:vAlign w:val="center"/>
            <w:hideMark/>
          </w:tcPr>
          <w:p w14:paraId="6D2F0AE1"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w:t>
            </w:r>
          </w:p>
        </w:tc>
        <w:tc>
          <w:tcPr>
            <w:tcW w:w="1276" w:type="dxa"/>
            <w:vAlign w:val="center"/>
            <w:hideMark/>
          </w:tcPr>
          <w:p w14:paraId="40C15B4A"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283</w:t>
            </w:r>
          </w:p>
        </w:tc>
        <w:tc>
          <w:tcPr>
            <w:tcW w:w="1925" w:type="dxa"/>
            <w:noWrap/>
            <w:vAlign w:val="center"/>
            <w:hideMark/>
          </w:tcPr>
          <w:p w14:paraId="54D801F8"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288</w:t>
            </w:r>
          </w:p>
        </w:tc>
      </w:tr>
      <w:tr w:rsidR="006652ED" w:rsidRPr="003D5FA9" w14:paraId="478959A5" w14:textId="77777777" w:rsidTr="00BE1A88">
        <w:trPr>
          <w:trHeight w:val="300"/>
        </w:trPr>
        <w:tc>
          <w:tcPr>
            <w:tcW w:w="4253" w:type="dxa"/>
            <w:vAlign w:val="center"/>
            <w:hideMark/>
          </w:tcPr>
          <w:p w14:paraId="3F7F52D9"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quốc gia về cán bộ, công chức, viên chức</w:t>
            </w:r>
          </w:p>
        </w:tc>
        <w:tc>
          <w:tcPr>
            <w:tcW w:w="1134" w:type="dxa"/>
            <w:vAlign w:val="center"/>
            <w:hideMark/>
          </w:tcPr>
          <w:p w14:paraId="129A2860"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1123</w:t>
            </w:r>
          </w:p>
        </w:tc>
        <w:tc>
          <w:tcPr>
            <w:tcW w:w="1418" w:type="dxa"/>
            <w:vAlign w:val="center"/>
            <w:hideMark/>
          </w:tcPr>
          <w:p w14:paraId="3F0BA0AD"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38</w:t>
            </w:r>
          </w:p>
        </w:tc>
        <w:tc>
          <w:tcPr>
            <w:tcW w:w="1276" w:type="dxa"/>
            <w:vAlign w:val="center"/>
            <w:hideMark/>
          </w:tcPr>
          <w:p w14:paraId="3C1FD05C"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285</w:t>
            </w:r>
          </w:p>
        </w:tc>
        <w:tc>
          <w:tcPr>
            <w:tcW w:w="1925" w:type="dxa"/>
            <w:noWrap/>
            <w:vAlign w:val="center"/>
            <w:hideMark/>
          </w:tcPr>
          <w:p w14:paraId="2B892626"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323</w:t>
            </w:r>
          </w:p>
        </w:tc>
      </w:tr>
      <w:tr w:rsidR="006652ED" w:rsidRPr="003D5FA9" w14:paraId="568AA1DC" w14:textId="77777777" w:rsidTr="00BE1A88">
        <w:trPr>
          <w:trHeight w:val="300"/>
        </w:trPr>
        <w:tc>
          <w:tcPr>
            <w:tcW w:w="4253" w:type="dxa"/>
            <w:vAlign w:val="center"/>
            <w:hideMark/>
          </w:tcPr>
          <w:p w14:paraId="7B40E09C"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căn cước công dân</w:t>
            </w:r>
          </w:p>
        </w:tc>
        <w:tc>
          <w:tcPr>
            <w:tcW w:w="1134" w:type="dxa"/>
            <w:vAlign w:val="center"/>
            <w:hideMark/>
          </w:tcPr>
          <w:p w14:paraId="02F5C06E"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1108</w:t>
            </w:r>
          </w:p>
        </w:tc>
        <w:tc>
          <w:tcPr>
            <w:tcW w:w="1418" w:type="dxa"/>
            <w:vAlign w:val="center"/>
            <w:hideMark/>
          </w:tcPr>
          <w:p w14:paraId="28E3E3E6"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11</w:t>
            </w:r>
          </w:p>
        </w:tc>
        <w:tc>
          <w:tcPr>
            <w:tcW w:w="1276" w:type="dxa"/>
            <w:vAlign w:val="center"/>
            <w:hideMark/>
          </w:tcPr>
          <w:p w14:paraId="49AAC147"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285</w:t>
            </w:r>
          </w:p>
        </w:tc>
        <w:tc>
          <w:tcPr>
            <w:tcW w:w="1925" w:type="dxa"/>
            <w:noWrap/>
            <w:vAlign w:val="center"/>
            <w:hideMark/>
          </w:tcPr>
          <w:p w14:paraId="36C59FA7"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296</w:t>
            </w:r>
          </w:p>
        </w:tc>
      </w:tr>
      <w:tr w:rsidR="006652ED" w:rsidRPr="003D5FA9" w14:paraId="3AF81C8B" w14:textId="77777777" w:rsidTr="00BE1A88">
        <w:trPr>
          <w:trHeight w:val="300"/>
        </w:trPr>
        <w:tc>
          <w:tcPr>
            <w:tcW w:w="4253" w:type="dxa"/>
            <w:vAlign w:val="center"/>
            <w:hideMark/>
          </w:tcPr>
          <w:p w14:paraId="1F7046BF"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hộ tịch điện tử</w:t>
            </w:r>
          </w:p>
        </w:tc>
        <w:tc>
          <w:tcPr>
            <w:tcW w:w="1134" w:type="dxa"/>
            <w:vAlign w:val="center"/>
            <w:hideMark/>
          </w:tcPr>
          <w:p w14:paraId="3156CE5A"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709</w:t>
            </w:r>
          </w:p>
        </w:tc>
        <w:tc>
          <w:tcPr>
            <w:tcW w:w="1418" w:type="dxa"/>
            <w:vAlign w:val="center"/>
            <w:hideMark/>
          </w:tcPr>
          <w:p w14:paraId="6A3718AD"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57</w:t>
            </w:r>
          </w:p>
        </w:tc>
        <w:tc>
          <w:tcPr>
            <w:tcW w:w="1276" w:type="dxa"/>
            <w:vAlign w:val="center"/>
            <w:hideMark/>
          </w:tcPr>
          <w:p w14:paraId="5EBA97B6"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69</w:t>
            </w:r>
          </w:p>
        </w:tc>
        <w:tc>
          <w:tcPr>
            <w:tcW w:w="1925" w:type="dxa"/>
            <w:noWrap/>
            <w:vAlign w:val="center"/>
            <w:hideMark/>
          </w:tcPr>
          <w:p w14:paraId="375B0C6A"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126</w:t>
            </w:r>
          </w:p>
        </w:tc>
      </w:tr>
      <w:tr w:rsidR="006652ED" w:rsidRPr="003D5FA9" w14:paraId="009CC197" w14:textId="77777777" w:rsidTr="00BE1A88">
        <w:trPr>
          <w:trHeight w:val="300"/>
        </w:trPr>
        <w:tc>
          <w:tcPr>
            <w:tcW w:w="4253" w:type="dxa"/>
            <w:vAlign w:val="center"/>
            <w:hideMark/>
          </w:tcPr>
          <w:p w14:paraId="5B6BD8C3"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thuế</w:t>
            </w:r>
          </w:p>
        </w:tc>
        <w:tc>
          <w:tcPr>
            <w:tcW w:w="1134" w:type="dxa"/>
            <w:vAlign w:val="center"/>
            <w:hideMark/>
          </w:tcPr>
          <w:p w14:paraId="536789A1"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600</w:t>
            </w:r>
          </w:p>
        </w:tc>
        <w:tc>
          <w:tcPr>
            <w:tcW w:w="1418" w:type="dxa"/>
            <w:vAlign w:val="center"/>
            <w:hideMark/>
          </w:tcPr>
          <w:p w14:paraId="4617C8B1"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174</w:t>
            </w:r>
          </w:p>
        </w:tc>
        <w:tc>
          <w:tcPr>
            <w:tcW w:w="1276" w:type="dxa"/>
            <w:vAlign w:val="center"/>
            <w:hideMark/>
          </w:tcPr>
          <w:p w14:paraId="197B1B06"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31</w:t>
            </w:r>
          </w:p>
        </w:tc>
        <w:tc>
          <w:tcPr>
            <w:tcW w:w="1925" w:type="dxa"/>
            <w:noWrap/>
            <w:vAlign w:val="center"/>
            <w:hideMark/>
          </w:tcPr>
          <w:p w14:paraId="22C87E29"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205</w:t>
            </w:r>
          </w:p>
        </w:tc>
      </w:tr>
      <w:tr w:rsidR="006652ED" w:rsidRPr="003D5FA9" w14:paraId="60A4C430" w14:textId="77777777" w:rsidTr="00BE1A88">
        <w:trPr>
          <w:trHeight w:val="300"/>
        </w:trPr>
        <w:tc>
          <w:tcPr>
            <w:tcW w:w="4253" w:type="dxa"/>
            <w:vAlign w:val="center"/>
            <w:hideMark/>
          </w:tcPr>
          <w:p w14:paraId="18BB7767"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lý lịch tư pháp</w:t>
            </w:r>
          </w:p>
        </w:tc>
        <w:tc>
          <w:tcPr>
            <w:tcW w:w="1134" w:type="dxa"/>
            <w:vAlign w:val="center"/>
            <w:hideMark/>
          </w:tcPr>
          <w:p w14:paraId="6AE07113"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572</w:t>
            </w:r>
          </w:p>
        </w:tc>
        <w:tc>
          <w:tcPr>
            <w:tcW w:w="1418" w:type="dxa"/>
            <w:vAlign w:val="center"/>
            <w:hideMark/>
          </w:tcPr>
          <w:p w14:paraId="3F5ED642"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25</w:t>
            </w:r>
          </w:p>
        </w:tc>
        <w:tc>
          <w:tcPr>
            <w:tcW w:w="1276" w:type="dxa"/>
            <w:vAlign w:val="center"/>
            <w:hideMark/>
          </w:tcPr>
          <w:p w14:paraId="344E76DF"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100</w:t>
            </w:r>
          </w:p>
        </w:tc>
        <w:tc>
          <w:tcPr>
            <w:tcW w:w="1925" w:type="dxa"/>
            <w:noWrap/>
            <w:vAlign w:val="center"/>
            <w:hideMark/>
          </w:tcPr>
          <w:p w14:paraId="41331B22"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125</w:t>
            </w:r>
          </w:p>
        </w:tc>
      </w:tr>
      <w:tr w:rsidR="006652ED" w:rsidRPr="003D5FA9" w14:paraId="1E979C15" w14:textId="77777777" w:rsidTr="00BE1A88">
        <w:trPr>
          <w:trHeight w:val="300"/>
        </w:trPr>
        <w:tc>
          <w:tcPr>
            <w:tcW w:w="4253" w:type="dxa"/>
            <w:vAlign w:val="center"/>
            <w:hideMark/>
          </w:tcPr>
          <w:p w14:paraId="2C07414D"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quốc gia về bảo hiểm</w:t>
            </w:r>
          </w:p>
        </w:tc>
        <w:tc>
          <w:tcPr>
            <w:tcW w:w="1134" w:type="dxa"/>
            <w:vAlign w:val="center"/>
            <w:hideMark/>
          </w:tcPr>
          <w:p w14:paraId="2D60F4F9"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500</w:t>
            </w:r>
          </w:p>
        </w:tc>
        <w:tc>
          <w:tcPr>
            <w:tcW w:w="1418" w:type="dxa"/>
            <w:vAlign w:val="center"/>
            <w:hideMark/>
          </w:tcPr>
          <w:p w14:paraId="7BA2D1AA"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75</w:t>
            </w:r>
          </w:p>
        </w:tc>
        <w:tc>
          <w:tcPr>
            <w:tcW w:w="1276" w:type="dxa"/>
            <w:vAlign w:val="center"/>
            <w:hideMark/>
          </w:tcPr>
          <w:p w14:paraId="30526576"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59</w:t>
            </w:r>
          </w:p>
        </w:tc>
        <w:tc>
          <w:tcPr>
            <w:tcW w:w="1925" w:type="dxa"/>
            <w:noWrap/>
            <w:vAlign w:val="center"/>
            <w:hideMark/>
          </w:tcPr>
          <w:p w14:paraId="640B3FB3"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134</w:t>
            </w:r>
          </w:p>
        </w:tc>
      </w:tr>
      <w:tr w:rsidR="006652ED" w:rsidRPr="003D5FA9" w14:paraId="52168DD8" w14:textId="77777777" w:rsidTr="00BE1A88">
        <w:trPr>
          <w:trHeight w:val="300"/>
        </w:trPr>
        <w:tc>
          <w:tcPr>
            <w:tcW w:w="4253" w:type="dxa"/>
            <w:vAlign w:val="center"/>
            <w:hideMark/>
          </w:tcPr>
          <w:p w14:paraId="394B943E"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về phòng cháy chữa cháy và cứu hộ, cứu nạn</w:t>
            </w:r>
          </w:p>
        </w:tc>
        <w:tc>
          <w:tcPr>
            <w:tcW w:w="1134" w:type="dxa"/>
            <w:vAlign w:val="center"/>
            <w:hideMark/>
          </w:tcPr>
          <w:p w14:paraId="2382D45C"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241</w:t>
            </w:r>
          </w:p>
        </w:tc>
        <w:tc>
          <w:tcPr>
            <w:tcW w:w="1418" w:type="dxa"/>
            <w:vAlign w:val="center"/>
            <w:hideMark/>
          </w:tcPr>
          <w:p w14:paraId="6D198BFC"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w:t>
            </w:r>
          </w:p>
        </w:tc>
        <w:tc>
          <w:tcPr>
            <w:tcW w:w="1276" w:type="dxa"/>
            <w:vAlign w:val="center"/>
            <w:hideMark/>
          </w:tcPr>
          <w:p w14:paraId="081C3617"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57</w:t>
            </w:r>
          </w:p>
        </w:tc>
        <w:tc>
          <w:tcPr>
            <w:tcW w:w="1925" w:type="dxa"/>
            <w:noWrap/>
            <w:vAlign w:val="center"/>
            <w:hideMark/>
          </w:tcPr>
          <w:p w14:paraId="3D53C76E"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62</w:t>
            </w:r>
          </w:p>
        </w:tc>
      </w:tr>
      <w:tr w:rsidR="006652ED" w:rsidRPr="003D5FA9" w14:paraId="43F4DA8B" w14:textId="77777777" w:rsidTr="00BE1A88">
        <w:trPr>
          <w:trHeight w:val="300"/>
        </w:trPr>
        <w:tc>
          <w:tcPr>
            <w:tcW w:w="4253" w:type="dxa"/>
            <w:vAlign w:val="center"/>
            <w:hideMark/>
          </w:tcPr>
          <w:p w14:paraId="464C6ADD"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định danh điện tử</w:t>
            </w:r>
          </w:p>
        </w:tc>
        <w:tc>
          <w:tcPr>
            <w:tcW w:w="1134" w:type="dxa"/>
            <w:vAlign w:val="center"/>
            <w:hideMark/>
          </w:tcPr>
          <w:p w14:paraId="7CAC807D"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234</w:t>
            </w:r>
          </w:p>
        </w:tc>
        <w:tc>
          <w:tcPr>
            <w:tcW w:w="1418" w:type="dxa"/>
            <w:vAlign w:val="center"/>
            <w:hideMark/>
          </w:tcPr>
          <w:p w14:paraId="00CA444F"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6</w:t>
            </w:r>
          </w:p>
        </w:tc>
        <w:tc>
          <w:tcPr>
            <w:tcW w:w="1276" w:type="dxa"/>
            <w:vAlign w:val="center"/>
            <w:hideMark/>
          </w:tcPr>
          <w:p w14:paraId="6AAB38C7"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53</w:t>
            </w:r>
          </w:p>
        </w:tc>
        <w:tc>
          <w:tcPr>
            <w:tcW w:w="1925" w:type="dxa"/>
            <w:noWrap/>
            <w:vAlign w:val="center"/>
            <w:hideMark/>
          </w:tcPr>
          <w:p w14:paraId="45AE1F55"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59</w:t>
            </w:r>
          </w:p>
        </w:tc>
      </w:tr>
      <w:tr w:rsidR="006652ED" w:rsidRPr="003D5FA9" w14:paraId="461E0CEA" w14:textId="77777777" w:rsidTr="00BE1A88">
        <w:trPr>
          <w:trHeight w:val="300"/>
        </w:trPr>
        <w:tc>
          <w:tcPr>
            <w:tcW w:w="4253" w:type="dxa"/>
            <w:vAlign w:val="center"/>
            <w:hideMark/>
          </w:tcPr>
          <w:p w14:paraId="2370D818"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đăng ký phương tiện</w:t>
            </w:r>
          </w:p>
        </w:tc>
        <w:tc>
          <w:tcPr>
            <w:tcW w:w="1134" w:type="dxa"/>
            <w:vAlign w:val="center"/>
            <w:hideMark/>
          </w:tcPr>
          <w:p w14:paraId="3B1EE324"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161</w:t>
            </w:r>
          </w:p>
        </w:tc>
        <w:tc>
          <w:tcPr>
            <w:tcW w:w="1418" w:type="dxa"/>
            <w:vAlign w:val="center"/>
            <w:hideMark/>
          </w:tcPr>
          <w:p w14:paraId="2AFCAE6D"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4</w:t>
            </w:r>
          </w:p>
        </w:tc>
        <w:tc>
          <w:tcPr>
            <w:tcW w:w="1276" w:type="dxa"/>
            <w:vAlign w:val="center"/>
            <w:hideMark/>
          </w:tcPr>
          <w:p w14:paraId="3ABC56FA"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36</w:t>
            </w:r>
          </w:p>
        </w:tc>
        <w:tc>
          <w:tcPr>
            <w:tcW w:w="1925" w:type="dxa"/>
            <w:noWrap/>
            <w:vAlign w:val="center"/>
            <w:hideMark/>
          </w:tcPr>
          <w:p w14:paraId="66618451"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40</w:t>
            </w:r>
          </w:p>
        </w:tc>
      </w:tr>
      <w:tr w:rsidR="006652ED" w:rsidRPr="003D5FA9" w14:paraId="4A03D0E1" w14:textId="77777777" w:rsidTr="00BE1A88">
        <w:trPr>
          <w:trHeight w:val="300"/>
        </w:trPr>
        <w:tc>
          <w:tcPr>
            <w:tcW w:w="4253" w:type="dxa"/>
            <w:vAlign w:val="center"/>
            <w:hideMark/>
          </w:tcPr>
          <w:p w14:paraId="09E23FA8"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về cư trú</w:t>
            </w:r>
          </w:p>
        </w:tc>
        <w:tc>
          <w:tcPr>
            <w:tcW w:w="1134" w:type="dxa"/>
            <w:vAlign w:val="center"/>
            <w:hideMark/>
          </w:tcPr>
          <w:p w14:paraId="47B0D0EB"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140</w:t>
            </w:r>
          </w:p>
        </w:tc>
        <w:tc>
          <w:tcPr>
            <w:tcW w:w="1418" w:type="dxa"/>
            <w:vAlign w:val="center"/>
            <w:hideMark/>
          </w:tcPr>
          <w:p w14:paraId="654BACBF"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9</w:t>
            </w:r>
          </w:p>
        </w:tc>
        <w:tc>
          <w:tcPr>
            <w:tcW w:w="1276" w:type="dxa"/>
            <w:vAlign w:val="center"/>
            <w:hideMark/>
          </w:tcPr>
          <w:p w14:paraId="232F1260"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48</w:t>
            </w:r>
          </w:p>
        </w:tc>
        <w:tc>
          <w:tcPr>
            <w:tcW w:w="1925" w:type="dxa"/>
            <w:noWrap/>
            <w:vAlign w:val="center"/>
            <w:hideMark/>
          </w:tcPr>
          <w:p w14:paraId="5FE0B16F"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57</w:t>
            </w:r>
          </w:p>
        </w:tc>
      </w:tr>
      <w:tr w:rsidR="006652ED" w:rsidRPr="003D5FA9" w14:paraId="79CF1D41" w14:textId="77777777" w:rsidTr="00BE1A88">
        <w:trPr>
          <w:trHeight w:val="300"/>
        </w:trPr>
        <w:tc>
          <w:tcPr>
            <w:tcW w:w="4253" w:type="dxa"/>
            <w:vAlign w:val="center"/>
            <w:hideMark/>
          </w:tcPr>
          <w:p w14:paraId="0F71349D"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dùng chung về con dấu và kinh doanh có điều kiện</w:t>
            </w:r>
          </w:p>
        </w:tc>
        <w:tc>
          <w:tcPr>
            <w:tcW w:w="1134" w:type="dxa"/>
            <w:vAlign w:val="center"/>
            <w:hideMark/>
          </w:tcPr>
          <w:p w14:paraId="04FC1B98"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104</w:t>
            </w:r>
          </w:p>
        </w:tc>
        <w:tc>
          <w:tcPr>
            <w:tcW w:w="1418" w:type="dxa"/>
            <w:vAlign w:val="center"/>
            <w:hideMark/>
          </w:tcPr>
          <w:p w14:paraId="56BB3E4E"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w:t>
            </w:r>
          </w:p>
        </w:tc>
        <w:tc>
          <w:tcPr>
            <w:tcW w:w="1276" w:type="dxa"/>
            <w:vAlign w:val="center"/>
            <w:hideMark/>
          </w:tcPr>
          <w:p w14:paraId="685216FE"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34</w:t>
            </w:r>
          </w:p>
        </w:tc>
        <w:tc>
          <w:tcPr>
            <w:tcW w:w="1925" w:type="dxa"/>
            <w:noWrap/>
            <w:vAlign w:val="center"/>
            <w:hideMark/>
          </w:tcPr>
          <w:p w14:paraId="3048F441"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37</w:t>
            </w:r>
          </w:p>
        </w:tc>
      </w:tr>
      <w:tr w:rsidR="006652ED" w:rsidRPr="003D5FA9" w14:paraId="662543A0" w14:textId="77777777" w:rsidTr="00BE1A88">
        <w:trPr>
          <w:trHeight w:val="300"/>
        </w:trPr>
        <w:tc>
          <w:tcPr>
            <w:tcW w:w="4253" w:type="dxa"/>
            <w:vAlign w:val="center"/>
            <w:hideMark/>
          </w:tcPr>
          <w:p w14:paraId="19A236EF"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về giao dịch bảo đảm</w:t>
            </w:r>
          </w:p>
        </w:tc>
        <w:tc>
          <w:tcPr>
            <w:tcW w:w="1134" w:type="dxa"/>
            <w:vAlign w:val="center"/>
            <w:hideMark/>
          </w:tcPr>
          <w:p w14:paraId="7F222D16"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97</w:t>
            </w:r>
          </w:p>
        </w:tc>
        <w:tc>
          <w:tcPr>
            <w:tcW w:w="1418" w:type="dxa"/>
            <w:vAlign w:val="center"/>
            <w:hideMark/>
          </w:tcPr>
          <w:p w14:paraId="5D28A305"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w:t>
            </w:r>
          </w:p>
        </w:tc>
        <w:tc>
          <w:tcPr>
            <w:tcW w:w="1276" w:type="dxa"/>
            <w:vAlign w:val="center"/>
            <w:hideMark/>
          </w:tcPr>
          <w:p w14:paraId="7B02E4BC"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17</w:t>
            </w:r>
          </w:p>
        </w:tc>
        <w:tc>
          <w:tcPr>
            <w:tcW w:w="1925" w:type="dxa"/>
            <w:noWrap/>
            <w:vAlign w:val="center"/>
            <w:hideMark/>
          </w:tcPr>
          <w:p w14:paraId="390DEC0B"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20</w:t>
            </w:r>
          </w:p>
        </w:tc>
      </w:tr>
      <w:tr w:rsidR="006652ED" w:rsidRPr="003D5FA9" w14:paraId="04AFD036" w14:textId="77777777" w:rsidTr="00BE1A88">
        <w:trPr>
          <w:trHeight w:val="300"/>
        </w:trPr>
        <w:tc>
          <w:tcPr>
            <w:tcW w:w="4253" w:type="dxa"/>
            <w:vAlign w:val="center"/>
            <w:hideMark/>
          </w:tcPr>
          <w:p w14:paraId="3EA044F7" w14:textId="77777777" w:rsidR="006652ED" w:rsidRPr="003D5FA9" w:rsidRDefault="006652ED" w:rsidP="006652ED">
            <w:pPr>
              <w:spacing w:after="0" w:line="240" w:lineRule="auto"/>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CSDL giấy phép lái xe</w:t>
            </w:r>
          </w:p>
        </w:tc>
        <w:tc>
          <w:tcPr>
            <w:tcW w:w="1134" w:type="dxa"/>
            <w:vAlign w:val="center"/>
            <w:hideMark/>
          </w:tcPr>
          <w:p w14:paraId="25828A87"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28</w:t>
            </w:r>
          </w:p>
        </w:tc>
        <w:tc>
          <w:tcPr>
            <w:tcW w:w="1418" w:type="dxa"/>
            <w:vAlign w:val="center"/>
            <w:hideMark/>
          </w:tcPr>
          <w:p w14:paraId="1C092BDF"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2</w:t>
            </w:r>
          </w:p>
        </w:tc>
        <w:tc>
          <w:tcPr>
            <w:tcW w:w="1276" w:type="dxa"/>
            <w:vAlign w:val="center"/>
            <w:hideMark/>
          </w:tcPr>
          <w:p w14:paraId="26E4C0C9"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8</w:t>
            </w:r>
          </w:p>
        </w:tc>
        <w:tc>
          <w:tcPr>
            <w:tcW w:w="1925" w:type="dxa"/>
            <w:noWrap/>
            <w:vAlign w:val="center"/>
            <w:hideMark/>
          </w:tcPr>
          <w:p w14:paraId="30C4B065"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10</w:t>
            </w:r>
          </w:p>
        </w:tc>
      </w:tr>
    </w:tbl>
    <w:p w14:paraId="67D35FF6" w14:textId="77777777" w:rsidR="006652ED" w:rsidRPr="003D5FA9" w:rsidRDefault="006652ED" w:rsidP="006652ED">
      <w:pPr>
        <w:spacing w:after="0" w:line="240" w:lineRule="auto"/>
        <w:jc w:val="center"/>
        <w:rPr>
          <w:rFonts w:ascii="Times New Roman" w:eastAsia="Calibri" w:hAnsi="Times New Roman" w:cs="Times New Roman"/>
          <w:b/>
          <w:iCs/>
          <w:color w:val="000000"/>
          <w:sz w:val="24"/>
          <w:szCs w:val="28"/>
          <w:lang w:val="vi-VN"/>
        </w:rPr>
      </w:pPr>
      <w:r w:rsidRPr="003D5FA9">
        <w:rPr>
          <w:rFonts w:ascii="Times New Roman" w:eastAsia="Calibri" w:hAnsi="Times New Roman" w:cs="Times New Roman"/>
          <w:b/>
          <w:iCs/>
          <w:color w:val="000000"/>
          <w:sz w:val="24"/>
          <w:szCs w:val="28"/>
          <w:lang w:val="hu-HU"/>
        </w:rPr>
        <w:t>Bảng</w:t>
      </w:r>
      <w:r w:rsidRPr="003D5FA9">
        <w:rPr>
          <w:rFonts w:ascii="Times New Roman" w:eastAsia="Calibri" w:hAnsi="Times New Roman" w:cs="Times New Roman"/>
          <w:b/>
          <w:iCs/>
          <w:color w:val="000000"/>
          <w:sz w:val="24"/>
          <w:szCs w:val="28"/>
          <w:lang w:val="vi-VN"/>
        </w:rPr>
        <w:t xml:space="preserve"> 2. </w:t>
      </w:r>
      <w:r w:rsidRPr="003D5FA9">
        <w:rPr>
          <w:rFonts w:ascii="Times New Roman" w:eastAsia="Calibri" w:hAnsi="Times New Roman" w:cs="Times New Roman"/>
          <w:b/>
          <w:iCs/>
          <w:color w:val="000000"/>
          <w:sz w:val="24"/>
          <w:szCs w:val="28"/>
          <w:lang w:val="hu-HU"/>
        </w:rPr>
        <w:t>Phân</w:t>
      </w:r>
      <w:r w:rsidRPr="003D5FA9">
        <w:rPr>
          <w:rFonts w:ascii="Times New Roman" w:eastAsia="Calibri" w:hAnsi="Times New Roman" w:cs="Times New Roman"/>
          <w:b/>
          <w:iCs/>
          <w:color w:val="000000"/>
          <w:sz w:val="24"/>
          <w:szCs w:val="28"/>
          <w:lang w:val="vi-VN"/>
        </w:rPr>
        <w:t xml:space="preserve"> tích 16 CSDL đã có nền tảng và CSDL dữ liệu tập trung</w:t>
      </w:r>
    </w:p>
    <w:p w14:paraId="331550FC" w14:textId="60537E21" w:rsidR="006652ED" w:rsidRPr="003D5FA9" w:rsidRDefault="005662BE" w:rsidP="006652ED">
      <w:pPr>
        <w:spacing w:after="0" w:line="240" w:lineRule="auto"/>
        <w:ind w:firstLine="720"/>
        <w:rPr>
          <w:rFonts w:ascii="Times New Roman" w:eastAsia="Times New Roman" w:hAnsi="Times New Roman" w:cs="Times New Roman"/>
          <w:b/>
          <w:bCs/>
          <w:iCs/>
          <w:color w:val="000000"/>
          <w:sz w:val="28"/>
          <w:szCs w:val="28"/>
          <w:lang w:val="vi-VN"/>
        </w:rPr>
      </w:pPr>
      <w:r w:rsidRPr="003D5FA9">
        <w:rPr>
          <w:rFonts w:ascii="Times New Roman" w:eastAsia="Times New Roman" w:hAnsi="Times New Roman" w:cs="Times New Roman"/>
          <w:b/>
          <w:bCs/>
          <w:iCs/>
          <w:color w:val="000000"/>
          <w:sz w:val="28"/>
          <w:szCs w:val="28"/>
        </w:rPr>
        <w:t>(</w:t>
      </w:r>
      <w:r w:rsidR="006652ED" w:rsidRPr="003D5FA9">
        <w:rPr>
          <w:rFonts w:ascii="Times New Roman" w:eastAsia="Times New Roman" w:hAnsi="Times New Roman" w:cs="Times New Roman"/>
          <w:b/>
          <w:bCs/>
          <w:iCs/>
          <w:color w:val="000000"/>
          <w:sz w:val="28"/>
          <w:szCs w:val="28"/>
          <w:lang w:val="vi-VN"/>
        </w:rPr>
        <w:t>2</w:t>
      </w:r>
      <w:r w:rsidRPr="003D5FA9">
        <w:rPr>
          <w:rFonts w:ascii="Times New Roman" w:eastAsia="Times New Roman" w:hAnsi="Times New Roman" w:cs="Times New Roman"/>
          <w:b/>
          <w:bCs/>
          <w:iCs/>
          <w:color w:val="000000"/>
          <w:sz w:val="28"/>
          <w:szCs w:val="28"/>
        </w:rPr>
        <w:t>)</w:t>
      </w:r>
      <w:r w:rsidR="006652ED" w:rsidRPr="003D5FA9">
        <w:rPr>
          <w:rFonts w:ascii="Times New Roman" w:eastAsia="Times New Roman" w:hAnsi="Times New Roman" w:cs="Times New Roman"/>
          <w:b/>
          <w:bCs/>
          <w:iCs/>
          <w:color w:val="000000"/>
          <w:sz w:val="28"/>
          <w:szCs w:val="28"/>
          <w:lang w:val="vi-VN"/>
        </w:rPr>
        <w:t xml:space="preserve"> Cơ sở dữ liệu cần xây dựng mới</w:t>
      </w:r>
    </w:p>
    <w:p w14:paraId="53D0AD9C" w14:textId="77777777" w:rsidR="006652ED" w:rsidRPr="003D5FA9" w:rsidRDefault="006652ED" w:rsidP="006652ED">
      <w:pPr>
        <w:keepLines/>
        <w:tabs>
          <w:tab w:val="left" w:pos="567"/>
          <w:tab w:val="left" w:pos="1134"/>
        </w:tabs>
        <w:adjustRightInd w:val="0"/>
        <w:spacing w:after="0" w:line="240" w:lineRule="auto"/>
        <w:ind w:firstLine="720"/>
        <w:jc w:val="both"/>
        <w:textAlignment w:val="baseline"/>
        <w:rPr>
          <w:rFonts w:ascii="Times New Roman" w:eastAsia="Times New Roman" w:hAnsi="Times New Roman" w:cs="Times New Roman"/>
          <w:iCs/>
          <w:color w:val="000000"/>
          <w:sz w:val="28"/>
          <w:szCs w:val="28"/>
          <w:lang w:val="vi-VN"/>
        </w:rPr>
      </w:pPr>
      <w:r w:rsidRPr="003D5FA9">
        <w:rPr>
          <w:rFonts w:ascii="Times New Roman" w:eastAsia="Times New Roman" w:hAnsi="Times New Roman" w:cs="Times New Roman"/>
          <w:iCs/>
          <w:color w:val="000000"/>
          <w:sz w:val="28"/>
          <w:szCs w:val="28"/>
          <w:lang w:val="hu-HU"/>
        </w:rPr>
        <w:t>Qua quá trình rà soát, đánh giá các CSDL quốc gia, chuyên ngành</w:t>
      </w:r>
      <w:r w:rsidRPr="003D5FA9">
        <w:rPr>
          <w:rFonts w:ascii="Times New Roman" w:eastAsia="Times New Roman" w:hAnsi="Times New Roman" w:cs="Times New Roman"/>
          <w:iCs/>
          <w:color w:val="000000"/>
          <w:sz w:val="28"/>
          <w:szCs w:val="28"/>
          <w:lang w:val="vi-VN"/>
        </w:rPr>
        <w:t xml:space="preserve"> và căn cứ yêu cầu thực tiễn cắt giảm, đơn giản hoá TTHC, </w:t>
      </w:r>
      <w:r w:rsidRPr="003D5FA9">
        <w:rPr>
          <w:rFonts w:ascii="Times New Roman" w:eastAsia="Times New Roman" w:hAnsi="Times New Roman" w:cs="Times New Roman"/>
          <w:iCs/>
          <w:color w:val="000000"/>
          <w:sz w:val="28"/>
          <w:szCs w:val="28"/>
          <w:lang w:val="hu-HU"/>
        </w:rPr>
        <w:t>bên</w:t>
      </w:r>
      <w:r w:rsidRPr="003D5FA9">
        <w:rPr>
          <w:rFonts w:ascii="Times New Roman" w:eastAsia="Times New Roman" w:hAnsi="Times New Roman" w:cs="Times New Roman"/>
          <w:iCs/>
          <w:color w:val="000000"/>
          <w:sz w:val="28"/>
          <w:szCs w:val="28"/>
          <w:lang w:val="vi-VN"/>
        </w:rPr>
        <w:t xml:space="preserve"> cạnh các CSDL đã được giao tại </w:t>
      </w:r>
      <w:r w:rsidRPr="003D5FA9">
        <w:rPr>
          <w:rFonts w:ascii="Times New Roman" w:eastAsia="Times New Roman" w:hAnsi="Times New Roman" w:cs="Times New Roman"/>
          <w:iCs/>
          <w:color w:val="000000"/>
          <w:sz w:val="28"/>
          <w:szCs w:val="28"/>
          <w:lang w:val="hu-HU"/>
        </w:rPr>
        <w:t>Kế hoạch 02-KH/BCĐTW</w:t>
      </w:r>
      <w:r w:rsidRPr="003D5FA9">
        <w:rPr>
          <w:rFonts w:ascii="Times New Roman" w:eastAsia="Times New Roman" w:hAnsi="Times New Roman" w:cs="Times New Roman"/>
          <w:iCs/>
          <w:color w:val="000000"/>
          <w:sz w:val="28"/>
          <w:szCs w:val="28"/>
          <w:lang w:val="vi-VN"/>
        </w:rPr>
        <w:t>,</w:t>
      </w:r>
      <w:r w:rsidRPr="003D5FA9">
        <w:rPr>
          <w:rFonts w:ascii="Times New Roman" w:eastAsia="Times New Roman" w:hAnsi="Times New Roman" w:cs="Times New Roman"/>
          <w:iCs/>
          <w:color w:val="000000"/>
          <w:sz w:val="28"/>
          <w:szCs w:val="28"/>
          <w:lang w:val="hu-HU"/>
        </w:rPr>
        <w:t xml:space="preserve"> Nghị quyết số 71/NQ-CP</w:t>
      </w:r>
      <w:r w:rsidRPr="003D5FA9">
        <w:rPr>
          <w:rFonts w:ascii="Times New Roman" w:eastAsia="Times New Roman" w:hAnsi="Times New Roman" w:cs="Times New Roman"/>
          <w:iCs/>
          <w:color w:val="000000"/>
          <w:sz w:val="28"/>
          <w:szCs w:val="28"/>
          <w:lang w:val="vi-VN"/>
        </w:rPr>
        <w:t>,</w:t>
      </w:r>
      <w:r w:rsidRPr="003D5FA9">
        <w:rPr>
          <w:rFonts w:ascii="Times New Roman" w:eastAsia="Times New Roman" w:hAnsi="Times New Roman" w:cs="Times New Roman"/>
          <w:iCs/>
          <w:color w:val="000000"/>
          <w:sz w:val="28"/>
          <w:szCs w:val="28"/>
          <w:lang w:val="hu-HU"/>
        </w:rPr>
        <w:t xml:space="preserve"> Nghị quyết số 214/NQ-CP</w:t>
      </w:r>
      <w:r w:rsidRPr="003D5FA9">
        <w:rPr>
          <w:rFonts w:ascii="Times New Roman" w:eastAsia="Times New Roman" w:hAnsi="Times New Roman" w:cs="Times New Roman"/>
          <w:iCs/>
          <w:color w:val="000000"/>
          <w:sz w:val="28"/>
          <w:szCs w:val="28"/>
          <w:lang w:val="vi-VN"/>
        </w:rPr>
        <w:t xml:space="preserve">, Nhóm Công tác số 3 </w:t>
      </w:r>
      <w:r w:rsidRPr="003D5FA9">
        <w:rPr>
          <w:rFonts w:ascii="Times New Roman" w:eastAsia="Times New Roman" w:hAnsi="Times New Roman" w:cs="Times New Roman"/>
          <w:iCs/>
          <w:color w:val="000000"/>
          <w:sz w:val="28"/>
          <w:szCs w:val="28"/>
          <w:lang w:val="hu-HU"/>
        </w:rPr>
        <w:t>đề xuất bổ sung thêm</w:t>
      </w:r>
      <w:r w:rsidRPr="003D5FA9">
        <w:rPr>
          <w:rFonts w:ascii="Times New Roman" w:eastAsia="Times New Roman" w:hAnsi="Times New Roman" w:cs="Times New Roman"/>
          <w:iCs/>
          <w:color w:val="000000"/>
          <w:sz w:val="28"/>
          <w:szCs w:val="28"/>
          <w:lang w:val="vi-VN"/>
        </w:rPr>
        <w:t xml:space="preserve"> </w:t>
      </w:r>
      <w:r w:rsidRPr="003D5FA9">
        <w:rPr>
          <w:rFonts w:ascii="Times New Roman" w:eastAsia="Times New Roman" w:hAnsi="Times New Roman" w:cs="Times New Roman"/>
          <w:b/>
          <w:bCs/>
          <w:iCs/>
          <w:color w:val="000000"/>
          <w:sz w:val="28"/>
          <w:szCs w:val="28"/>
          <w:lang w:val="hu-HU"/>
        </w:rPr>
        <w:t>30 CSDL</w:t>
      </w:r>
      <w:r w:rsidRPr="003D5FA9">
        <w:rPr>
          <w:rFonts w:ascii="Times New Roman" w:eastAsia="Times New Roman" w:hAnsi="Times New Roman" w:cs="Times New Roman"/>
          <w:iCs/>
          <w:color w:val="000000"/>
          <w:sz w:val="28"/>
          <w:szCs w:val="28"/>
          <w:lang w:val="hu-HU"/>
        </w:rPr>
        <w:t xml:space="preserve"> của</w:t>
      </w:r>
      <w:r w:rsidRPr="003D5FA9">
        <w:rPr>
          <w:rFonts w:ascii="Times New Roman" w:eastAsia="Times New Roman" w:hAnsi="Times New Roman" w:cs="Times New Roman"/>
          <w:iCs/>
          <w:color w:val="000000"/>
          <w:sz w:val="28"/>
          <w:szCs w:val="28"/>
          <w:lang w:val="vi-VN"/>
        </w:rPr>
        <w:t xml:space="preserve"> </w:t>
      </w:r>
      <w:r w:rsidRPr="003D5FA9">
        <w:rPr>
          <w:rFonts w:ascii="Times New Roman" w:eastAsia="Times New Roman" w:hAnsi="Times New Roman" w:cs="Times New Roman"/>
          <w:iCs/>
          <w:color w:val="000000"/>
          <w:sz w:val="28"/>
          <w:szCs w:val="28"/>
          <w:lang w:val="hu-HU"/>
        </w:rPr>
        <w:t>các bộ, ngành</w:t>
      </w:r>
      <w:r w:rsidRPr="003D5FA9">
        <w:rPr>
          <w:rFonts w:ascii="Times New Roman" w:eastAsia="Times New Roman" w:hAnsi="Times New Roman" w:cs="Times New Roman"/>
          <w:iCs/>
          <w:color w:val="000000"/>
          <w:sz w:val="28"/>
          <w:szCs w:val="28"/>
          <w:lang w:val="vi-VN"/>
        </w:rPr>
        <w:t>, cụ thể:</w:t>
      </w:r>
    </w:p>
    <w:tbl>
      <w:tblPr>
        <w:tblW w:w="18189" w:type="dxa"/>
        <w:tblInd w:w="-572" w:type="dxa"/>
        <w:tblLayout w:type="fixed"/>
        <w:tblLook w:val="04A0" w:firstRow="1" w:lastRow="0" w:firstColumn="1" w:lastColumn="0" w:noHBand="0" w:noVBand="1"/>
      </w:tblPr>
      <w:tblGrid>
        <w:gridCol w:w="670"/>
        <w:gridCol w:w="1315"/>
        <w:gridCol w:w="2410"/>
        <w:gridCol w:w="5811"/>
        <w:gridCol w:w="7983"/>
      </w:tblGrid>
      <w:tr w:rsidR="006652ED" w:rsidRPr="003D5FA9" w14:paraId="0A5DF661" w14:textId="77777777" w:rsidTr="00BE1A88">
        <w:trPr>
          <w:gridAfter w:val="1"/>
          <w:wAfter w:w="7983" w:type="dxa"/>
          <w:trHeight w:val="380"/>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07A12041" w14:textId="77777777" w:rsidR="006652ED" w:rsidRPr="003D5FA9" w:rsidRDefault="006652ED" w:rsidP="006652ED">
            <w:pPr>
              <w:spacing w:after="0" w:line="240" w:lineRule="auto"/>
              <w:jc w:val="center"/>
              <w:rPr>
                <w:rFonts w:ascii="Times New Roman" w:eastAsia="Calibri" w:hAnsi="Times New Roman" w:cs="Times New Roman"/>
                <w:b/>
                <w:bCs/>
                <w:color w:val="1F1F1F"/>
                <w:sz w:val="24"/>
              </w:rPr>
            </w:pPr>
            <w:r w:rsidRPr="003D5FA9">
              <w:rPr>
                <w:rFonts w:ascii="Times New Roman" w:eastAsia="Calibri" w:hAnsi="Times New Roman" w:cs="Times New Roman"/>
                <w:b/>
                <w:bCs/>
                <w:color w:val="1F1F1F"/>
                <w:sz w:val="24"/>
              </w:rPr>
              <w:t>STT</w:t>
            </w:r>
          </w:p>
        </w:tc>
        <w:tc>
          <w:tcPr>
            <w:tcW w:w="1315" w:type="dxa"/>
            <w:tcBorders>
              <w:top w:val="single" w:sz="4" w:space="0" w:color="auto"/>
              <w:left w:val="nil"/>
              <w:bottom w:val="single" w:sz="4" w:space="0" w:color="auto"/>
              <w:right w:val="single" w:sz="4" w:space="0" w:color="auto"/>
            </w:tcBorders>
            <w:vAlign w:val="center"/>
            <w:hideMark/>
          </w:tcPr>
          <w:p w14:paraId="4B5F0447" w14:textId="77777777" w:rsidR="006652ED" w:rsidRPr="003D5FA9" w:rsidRDefault="006652ED" w:rsidP="006652ED">
            <w:pPr>
              <w:spacing w:after="0" w:line="240" w:lineRule="auto"/>
              <w:jc w:val="center"/>
              <w:rPr>
                <w:rFonts w:ascii="Times New Roman" w:eastAsia="Calibri" w:hAnsi="Times New Roman" w:cs="Times New Roman"/>
                <w:b/>
                <w:bCs/>
                <w:color w:val="1F1F1F"/>
                <w:sz w:val="24"/>
              </w:rPr>
            </w:pPr>
            <w:r w:rsidRPr="003D5FA9">
              <w:rPr>
                <w:rFonts w:ascii="Times New Roman" w:eastAsia="Calibri" w:hAnsi="Times New Roman" w:cs="Times New Roman"/>
                <w:b/>
                <w:bCs/>
                <w:color w:val="1F1F1F"/>
                <w:sz w:val="24"/>
              </w:rPr>
              <w:t>Bộ/Ngành chủ quản</w:t>
            </w:r>
          </w:p>
        </w:tc>
        <w:tc>
          <w:tcPr>
            <w:tcW w:w="2410" w:type="dxa"/>
            <w:tcBorders>
              <w:top w:val="single" w:sz="4" w:space="0" w:color="auto"/>
              <w:left w:val="nil"/>
              <w:bottom w:val="single" w:sz="4" w:space="0" w:color="auto"/>
              <w:right w:val="single" w:sz="4" w:space="0" w:color="auto"/>
            </w:tcBorders>
            <w:vAlign w:val="center"/>
            <w:hideMark/>
          </w:tcPr>
          <w:p w14:paraId="1733E725" w14:textId="77777777" w:rsidR="006652ED" w:rsidRPr="003D5FA9" w:rsidRDefault="006652ED" w:rsidP="006652ED">
            <w:pPr>
              <w:spacing w:after="0" w:line="240" w:lineRule="auto"/>
              <w:jc w:val="center"/>
              <w:rPr>
                <w:rFonts w:ascii="Times New Roman" w:eastAsia="Calibri" w:hAnsi="Times New Roman" w:cs="Times New Roman"/>
                <w:b/>
                <w:bCs/>
                <w:color w:val="1F1F1F"/>
                <w:sz w:val="24"/>
              </w:rPr>
            </w:pPr>
            <w:r w:rsidRPr="003D5FA9">
              <w:rPr>
                <w:rFonts w:ascii="Times New Roman" w:eastAsia="Calibri" w:hAnsi="Times New Roman" w:cs="Times New Roman"/>
                <w:b/>
                <w:bCs/>
                <w:color w:val="1F1F1F"/>
                <w:sz w:val="24"/>
              </w:rPr>
              <w:t>Tên CSDL đề xuất</w:t>
            </w:r>
          </w:p>
        </w:tc>
        <w:tc>
          <w:tcPr>
            <w:tcW w:w="5811" w:type="dxa"/>
            <w:tcBorders>
              <w:top w:val="single" w:sz="4" w:space="0" w:color="auto"/>
              <w:left w:val="nil"/>
              <w:bottom w:val="single" w:sz="4" w:space="0" w:color="auto"/>
              <w:right w:val="single" w:sz="4" w:space="0" w:color="auto"/>
            </w:tcBorders>
            <w:vAlign w:val="center"/>
            <w:hideMark/>
          </w:tcPr>
          <w:p w14:paraId="3D3737A1" w14:textId="77777777" w:rsidR="006652ED" w:rsidRPr="003D5FA9" w:rsidRDefault="006652ED" w:rsidP="006652ED">
            <w:pPr>
              <w:spacing w:after="0" w:line="240" w:lineRule="auto"/>
              <w:jc w:val="center"/>
              <w:rPr>
                <w:rFonts w:ascii="Times New Roman" w:eastAsia="Calibri" w:hAnsi="Times New Roman" w:cs="Times New Roman"/>
                <w:b/>
                <w:bCs/>
                <w:color w:val="1F1F1F"/>
                <w:sz w:val="24"/>
              </w:rPr>
            </w:pPr>
            <w:r w:rsidRPr="003D5FA9">
              <w:rPr>
                <w:rFonts w:ascii="Times New Roman" w:eastAsia="Calibri" w:hAnsi="Times New Roman" w:cs="Times New Roman"/>
                <w:b/>
                <w:bCs/>
                <w:color w:val="1F1F1F"/>
                <w:sz w:val="24"/>
              </w:rPr>
              <w:t>Thủ tục hành chính liên quan</w:t>
            </w:r>
          </w:p>
        </w:tc>
      </w:tr>
      <w:tr w:rsidR="006652ED" w:rsidRPr="003D5FA9" w14:paraId="7F316C75"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51C1A760"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w:t>
            </w:r>
          </w:p>
        </w:tc>
        <w:tc>
          <w:tcPr>
            <w:tcW w:w="1315" w:type="dxa"/>
            <w:vMerge w:val="restart"/>
            <w:tcBorders>
              <w:top w:val="single" w:sz="4" w:space="0" w:color="auto"/>
              <w:left w:val="nil"/>
              <w:bottom w:val="single" w:sz="4" w:space="0" w:color="auto"/>
              <w:right w:val="single" w:sz="4" w:space="0" w:color="auto"/>
            </w:tcBorders>
            <w:vAlign w:val="center"/>
            <w:hideMark/>
          </w:tcPr>
          <w:p w14:paraId="0D3EFA4D"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lang w:val="vi-VN"/>
              </w:rPr>
            </w:pPr>
            <w:r w:rsidRPr="003D5FA9">
              <w:rPr>
                <w:rFonts w:ascii="Times New Roman" w:eastAsia="Calibri" w:hAnsi="Times New Roman" w:cs="Times New Roman"/>
                <w:color w:val="000000"/>
                <w:sz w:val="24"/>
                <w:szCs w:val="28"/>
                <w:lang w:val="vi-VN"/>
              </w:rPr>
              <w:t>Bộ Nông nghiệp Môi trường</w:t>
            </w:r>
          </w:p>
        </w:tc>
        <w:tc>
          <w:tcPr>
            <w:tcW w:w="2410" w:type="dxa"/>
            <w:tcBorders>
              <w:top w:val="nil"/>
              <w:left w:val="nil"/>
              <w:bottom w:val="single" w:sz="4" w:space="0" w:color="auto"/>
              <w:right w:val="single" w:sz="4" w:space="0" w:color="auto"/>
            </w:tcBorders>
            <w:vAlign w:val="center"/>
            <w:hideMark/>
          </w:tcPr>
          <w:p w14:paraId="44150914" w14:textId="77777777" w:rsidR="006652ED" w:rsidRPr="003D5FA9" w:rsidRDefault="006652ED" w:rsidP="006652ED">
            <w:pPr>
              <w:spacing w:after="0" w:line="240" w:lineRule="auto"/>
              <w:rPr>
                <w:rFonts w:ascii="Times New Roman" w:eastAsia="Calibri" w:hAnsi="Times New Roman" w:cs="Times New Roman"/>
                <w:color w:val="000000"/>
                <w:sz w:val="24"/>
                <w:szCs w:val="28"/>
                <w:lang w:val="vi-VN"/>
              </w:rPr>
            </w:pPr>
            <w:r w:rsidRPr="003D5FA9">
              <w:rPr>
                <w:rFonts w:ascii="Times New Roman" w:eastAsia="Calibri" w:hAnsi="Times New Roman" w:cs="Times New Roman"/>
                <w:color w:val="000000"/>
                <w:sz w:val="24"/>
                <w:szCs w:val="28"/>
                <w:lang w:val="vi-VN"/>
              </w:rPr>
              <w:t>CSDL Tài nguyên nước quốc gia</w:t>
            </w:r>
          </w:p>
        </w:tc>
        <w:tc>
          <w:tcPr>
            <w:tcW w:w="5811" w:type="dxa"/>
            <w:tcBorders>
              <w:top w:val="nil"/>
              <w:left w:val="nil"/>
              <w:bottom w:val="single" w:sz="4" w:space="0" w:color="auto"/>
              <w:right w:val="single" w:sz="4" w:space="0" w:color="auto"/>
            </w:tcBorders>
            <w:vAlign w:val="center"/>
            <w:hideMark/>
          </w:tcPr>
          <w:p w14:paraId="760A2B70" w14:textId="77777777" w:rsidR="006652ED" w:rsidRPr="003D5FA9" w:rsidRDefault="006652ED" w:rsidP="006652ED">
            <w:pPr>
              <w:spacing w:after="0" w:line="240" w:lineRule="auto"/>
              <w:rPr>
                <w:rFonts w:ascii="Times New Roman" w:eastAsia="Calibri" w:hAnsi="Times New Roman" w:cs="Times New Roman"/>
                <w:color w:val="000000"/>
                <w:sz w:val="24"/>
                <w:szCs w:val="28"/>
                <w:lang w:val="vi-VN"/>
              </w:rPr>
            </w:pPr>
            <w:r w:rsidRPr="003D5FA9">
              <w:rPr>
                <w:rFonts w:ascii="Times New Roman" w:eastAsia="Calibri" w:hAnsi="Times New Roman" w:cs="Times New Roman"/>
                <w:color w:val="000000"/>
                <w:sz w:val="24"/>
                <w:szCs w:val="28"/>
                <w:lang w:val="vi-VN"/>
              </w:rPr>
              <w:t>Cấp Giấy phép khai thác, sử dụng tài nguyên nước; Cấp Giấy phép xả nước thải vào nguồn nước.</w:t>
            </w:r>
          </w:p>
        </w:tc>
      </w:tr>
      <w:tr w:rsidR="006652ED" w:rsidRPr="003D5FA9" w14:paraId="2B0C9452"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261ABF9D"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rPr>
              <w:t>2</w:t>
            </w:r>
          </w:p>
        </w:tc>
        <w:tc>
          <w:tcPr>
            <w:tcW w:w="1315" w:type="dxa"/>
            <w:vMerge/>
            <w:tcBorders>
              <w:left w:val="nil"/>
              <w:bottom w:val="single" w:sz="4" w:space="0" w:color="auto"/>
              <w:right w:val="single" w:sz="4" w:space="0" w:color="auto"/>
            </w:tcBorders>
            <w:vAlign w:val="center"/>
            <w:hideMark/>
          </w:tcPr>
          <w:p w14:paraId="6B35AE4B"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056C5F4C"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địa chất, khoáng sản quốc gia</w:t>
            </w:r>
          </w:p>
        </w:tc>
        <w:tc>
          <w:tcPr>
            <w:tcW w:w="5811" w:type="dxa"/>
            <w:tcBorders>
              <w:top w:val="nil"/>
              <w:left w:val="nil"/>
              <w:bottom w:val="single" w:sz="4" w:space="0" w:color="auto"/>
              <w:right w:val="single" w:sz="4" w:space="0" w:color="auto"/>
            </w:tcBorders>
            <w:vAlign w:val="center"/>
            <w:hideMark/>
          </w:tcPr>
          <w:p w14:paraId="29909764"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Giấy phép thăm dò/khai thác khoáng sản; Phê duyệt trữ lượng khoáng sản.</w:t>
            </w:r>
          </w:p>
        </w:tc>
      </w:tr>
      <w:tr w:rsidR="006652ED" w:rsidRPr="003D5FA9" w14:paraId="7EA6EED4"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1CA2E216"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3</w:t>
            </w:r>
          </w:p>
        </w:tc>
        <w:tc>
          <w:tcPr>
            <w:tcW w:w="1315" w:type="dxa"/>
            <w:vMerge/>
            <w:tcBorders>
              <w:left w:val="nil"/>
              <w:bottom w:val="single" w:sz="4" w:space="0" w:color="auto"/>
              <w:right w:val="single" w:sz="4" w:space="0" w:color="auto"/>
            </w:tcBorders>
            <w:vAlign w:val="center"/>
            <w:hideMark/>
          </w:tcPr>
          <w:p w14:paraId="2FC826BB"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2C82AB60" w14:textId="77777777" w:rsidR="006652ED" w:rsidRPr="003D5FA9" w:rsidRDefault="006652ED" w:rsidP="006652ED">
            <w:pPr>
              <w:spacing w:after="0" w:line="240" w:lineRule="auto"/>
              <w:rPr>
                <w:rFonts w:ascii="Times New Roman" w:eastAsia="Calibri" w:hAnsi="Times New Roman" w:cs="Times New Roman"/>
                <w:color w:val="000000"/>
                <w:spacing w:val="-10"/>
                <w:sz w:val="24"/>
                <w:szCs w:val="28"/>
              </w:rPr>
            </w:pPr>
            <w:r w:rsidRPr="003D5FA9">
              <w:rPr>
                <w:rFonts w:ascii="Times New Roman" w:eastAsia="Calibri" w:hAnsi="Times New Roman" w:cs="Times New Roman"/>
                <w:color w:val="000000"/>
                <w:spacing w:val="-10"/>
                <w:sz w:val="24"/>
                <w:szCs w:val="28"/>
              </w:rPr>
              <w:t>CSDL bảo tồn thiên nhiên và đa dạng sinh học</w:t>
            </w:r>
          </w:p>
        </w:tc>
        <w:tc>
          <w:tcPr>
            <w:tcW w:w="5811" w:type="dxa"/>
            <w:tcBorders>
              <w:top w:val="nil"/>
              <w:left w:val="nil"/>
              <w:bottom w:val="single" w:sz="4" w:space="0" w:color="auto"/>
              <w:right w:val="single" w:sz="4" w:space="0" w:color="auto"/>
            </w:tcBorders>
            <w:vAlign w:val="center"/>
            <w:hideMark/>
          </w:tcPr>
          <w:p w14:paraId="2BF55ABE"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GCN đủ điều kiện buôn bán, sản xuất thuốc thú y.</w:t>
            </w:r>
          </w:p>
        </w:tc>
      </w:tr>
      <w:tr w:rsidR="006652ED" w:rsidRPr="003D5FA9" w14:paraId="0B52EB1D" w14:textId="77777777" w:rsidTr="00BE1A88">
        <w:trPr>
          <w:gridAfter w:val="1"/>
          <w:wAfter w:w="7983" w:type="dxa"/>
          <w:trHeight w:val="617"/>
        </w:trPr>
        <w:tc>
          <w:tcPr>
            <w:tcW w:w="670" w:type="dxa"/>
            <w:tcBorders>
              <w:top w:val="nil"/>
              <w:left w:val="single" w:sz="4" w:space="0" w:color="auto"/>
              <w:bottom w:val="single" w:sz="4" w:space="0" w:color="auto"/>
              <w:right w:val="single" w:sz="4" w:space="0" w:color="auto"/>
            </w:tcBorders>
            <w:vAlign w:val="center"/>
            <w:hideMark/>
          </w:tcPr>
          <w:p w14:paraId="652549FA"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4</w:t>
            </w:r>
          </w:p>
        </w:tc>
        <w:tc>
          <w:tcPr>
            <w:tcW w:w="1315" w:type="dxa"/>
            <w:vMerge/>
            <w:tcBorders>
              <w:left w:val="nil"/>
              <w:bottom w:val="single" w:sz="4" w:space="0" w:color="auto"/>
              <w:right w:val="single" w:sz="4" w:space="0" w:color="auto"/>
            </w:tcBorders>
            <w:vAlign w:val="center"/>
            <w:hideMark/>
          </w:tcPr>
          <w:p w14:paraId="6293EB89"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5FBFE04D"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Phân bón</w:t>
            </w:r>
          </w:p>
        </w:tc>
        <w:tc>
          <w:tcPr>
            <w:tcW w:w="5811" w:type="dxa"/>
            <w:tcBorders>
              <w:top w:val="nil"/>
              <w:left w:val="nil"/>
              <w:bottom w:val="single" w:sz="4" w:space="0" w:color="auto"/>
              <w:right w:val="single" w:sz="4" w:space="0" w:color="auto"/>
            </w:tcBorders>
            <w:vAlign w:val="center"/>
            <w:hideMark/>
          </w:tcPr>
          <w:p w14:paraId="5F0CDBA3"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lại Quyết định công nhận phân bón lưu hành tại Việt Nam; Gia hạn Quyết định công nhận phân bón lưu hành tại Việt Nam; Kiểm tra nhà nước về chất lượng phân bón nhập khẩu; Cấp lại GCN đủ điều kiện buôn bán phân bón…</w:t>
            </w:r>
          </w:p>
        </w:tc>
      </w:tr>
      <w:tr w:rsidR="006652ED" w:rsidRPr="003D5FA9" w14:paraId="3201D8AD" w14:textId="77777777" w:rsidTr="00BE1A88">
        <w:trPr>
          <w:gridAfter w:val="1"/>
          <w:wAfter w:w="7983" w:type="dxa"/>
          <w:trHeight w:val="1289"/>
        </w:trPr>
        <w:tc>
          <w:tcPr>
            <w:tcW w:w="670" w:type="dxa"/>
            <w:tcBorders>
              <w:top w:val="single" w:sz="4" w:space="0" w:color="auto"/>
              <w:left w:val="single" w:sz="4" w:space="0" w:color="auto"/>
              <w:bottom w:val="single" w:sz="4" w:space="0" w:color="auto"/>
              <w:right w:val="single" w:sz="4" w:space="0" w:color="auto"/>
            </w:tcBorders>
            <w:vAlign w:val="center"/>
            <w:hideMark/>
          </w:tcPr>
          <w:p w14:paraId="0712646C"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5</w:t>
            </w:r>
          </w:p>
        </w:tc>
        <w:tc>
          <w:tcPr>
            <w:tcW w:w="1315" w:type="dxa"/>
            <w:vMerge/>
            <w:tcBorders>
              <w:left w:val="single" w:sz="4" w:space="0" w:color="auto"/>
              <w:bottom w:val="single" w:sz="4" w:space="0" w:color="auto"/>
              <w:right w:val="single" w:sz="4" w:space="0" w:color="auto"/>
            </w:tcBorders>
            <w:vAlign w:val="center"/>
            <w:hideMark/>
          </w:tcPr>
          <w:p w14:paraId="67A32F24"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A5462D9"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Kiểm dịch thực vật</w:t>
            </w:r>
          </w:p>
        </w:tc>
        <w:tc>
          <w:tcPr>
            <w:tcW w:w="5811" w:type="dxa"/>
            <w:tcBorders>
              <w:top w:val="single" w:sz="4" w:space="0" w:color="auto"/>
              <w:left w:val="nil"/>
              <w:bottom w:val="single" w:sz="4" w:space="0" w:color="auto"/>
              <w:right w:val="single" w:sz="4" w:space="0" w:color="auto"/>
            </w:tcBorders>
            <w:vAlign w:val="center"/>
            <w:hideMark/>
          </w:tcPr>
          <w:p w14:paraId="126118D2"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GCN kiểm dịch thực vật nhập khẩu, kiểm tra nhà nước về an toàn thực phẩm hàng hóa có nguồn gốc thực vật nhập khẩu;</w:t>
            </w:r>
            <w:r w:rsidRPr="003D5FA9">
              <w:rPr>
                <w:rFonts w:ascii="Times New Roman" w:eastAsia="Calibri" w:hAnsi="Times New Roman" w:cs="Times New Roman"/>
                <w:color w:val="000000"/>
                <w:sz w:val="24"/>
                <w:szCs w:val="28"/>
                <w:lang w:val="vi-VN"/>
              </w:rPr>
              <w:t xml:space="preserve"> Cấp GCN kiểm dịch thực vật xuất khẩu/tái xuất khẩu; Cấp GCN kiểm dịch thực vật quá cảnh; Cấp GCN đăng ký thuốc bảo vệ thực vật; Cấp lại GCN đăng </w:t>
            </w:r>
            <w:r w:rsidRPr="003D5FA9">
              <w:rPr>
                <w:rFonts w:ascii="Times New Roman" w:eastAsia="Calibri" w:hAnsi="Times New Roman" w:cs="Times New Roman"/>
                <w:color w:val="000000"/>
                <w:sz w:val="24"/>
                <w:szCs w:val="28"/>
                <w:lang w:val="vi-VN"/>
              </w:rPr>
              <w:lastRenderedPageBreak/>
              <w:t>ký thuốc bảo vệ thực vật trường hợp thay đổi nhà sản xuất…</w:t>
            </w:r>
          </w:p>
        </w:tc>
      </w:tr>
      <w:tr w:rsidR="006652ED" w:rsidRPr="003D5FA9" w14:paraId="44791EC5" w14:textId="77777777" w:rsidTr="00BE1A88">
        <w:trPr>
          <w:gridAfter w:val="1"/>
          <w:wAfter w:w="7983" w:type="dxa"/>
          <w:trHeight w:val="980"/>
        </w:trPr>
        <w:tc>
          <w:tcPr>
            <w:tcW w:w="670" w:type="dxa"/>
            <w:tcBorders>
              <w:top w:val="nil"/>
              <w:left w:val="single" w:sz="4" w:space="0" w:color="auto"/>
              <w:bottom w:val="single" w:sz="4" w:space="0" w:color="auto"/>
              <w:right w:val="single" w:sz="4" w:space="0" w:color="auto"/>
            </w:tcBorders>
            <w:vAlign w:val="center"/>
            <w:hideMark/>
          </w:tcPr>
          <w:p w14:paraId="0BE23B05"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lastRenderedPageBreak/>
              <w:t>6</w:t>
            </w:r>
          </w:p>
        </w:tc>
        <w:tc>
          <w:tcPr>
            <w:tcW w:w="1315" w:type="dxa"/>
            <w:vMerge/>
            <w:tcBorders>
              <w:left w:val="nil"/>
              <w:bottom w:val="single" w:sz="4" w:space="0" w:color="auto"/>
              <w:right w:val="single" w:sz="4" w:space="0" w:color="auto"/>
            </w:tcBorders>
            <w:vAlign w:val="center"/>
            <w:hideMark/>
          </w:tcPr>
          <w:p w14:paraId="00FEDDF3"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4C95706B"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về cơ sở chăn nuôi và chế biến sản phẩm chăn nuôi</w:t>
            </w:r>
          </w:p>
        </w:tc>
        <w:tc>
          <w:tcPr>
            <w:tcW w:w="5811" w:type="dxa"/>
            <w:tcBorders>
              <w:top w:val="single" w:sz="4" w:space="0" w:color="auto"/>
              <w:left w:val="nil"/>
              <w:bottom w:val="single" w:sz="4" w:space="0" w:color="auto"/>
              <w:right w:val="single" w:sz="4" w:space="0" w:color="auto"/>
            </w:tcBorders>
            <w:vAlign w:val="center"/>
            <w:hideMark/>
          </w:tcPr>
          <w:p w14:paraId="1C069B1B"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mã số chăn nuôi (cơ sở chăn nuôi, sơ chế, giết mổ, chế biến) Cấp GCN đủ điều kiện chăn nuôi đối với chăn nuôi trang trại quy mô lớn; Quyết định hỗ trợ đối với các chính sách nâng cao hiệu quả chăn nuôi sử dụng vốn sự nghiệp nguồn ngân sách nhà nước…</w:t>
            </w:r>
          </w:p>
        </w:tc>
      </w:tr>
      <w:tr w:rsidR="006652ED" w:rsidRPr="003D5FA9" w14:paraId="0CB1B3E6" w14:textId="77777777" w:rsidTr="00BE1A88">
        <w:trPr>
          <w:gridAfter w:val="1"/>
          <w:wAfter w:w="7983" w:type="dxa"/>
          <w:trHeight w:val="1238"/>
        </w:trPr>
        <w:tc>
          <w:tcPr>
            <w:tcW w:w="670" w:type="dxa"/>
            <w:tcBorders>
              <w:top w:val="nil"/>
              <w:left w:val="single" w:sz="4" w:space="0" w:color="auto"/>
              <w:bottom w:val="single" w:sz="4" w:space="0" w:color="auto"/>
              <w:right w:val="single" w:sz="4" w:space="0" w:color="auto"/>
            </w:tcBorders>
            <w:vAlign w:val="center"/>
            <w:hideMark/>
          </w:tcPr>
          <w:p w14:paraId="759E3BBD"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7</w:t>
            </w:r>
          </w:p>
        </w:tc>
        <w:tc>
          <w:tcPr>
            <w:tcW w:w="1315" w:type="dxa"/>
            <w:vMerge/>
            <w:tcBorders>
              <w:left w:val="nil"/>
              <w:bottom w:val="single" w:sz="4" w:space="0" w:color="auto"/>
              <w:right w:val="single" w:sz="4" w:space="0" w:color="auto"/>
            </w:tcBorders>
            <w:vAlign w:val="center"/>
            <w:hideMark/>
          </w:tcPr>
          <w:p w14:paraId="5266A923"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477377B6"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thức ăn chăn nuôi</w:t>
            </w:r>
          </w:p>
        </w:tc>
        <w:tc>
          <w:tcPr>
            <w:tcW w:w="5811" w:type="dxa"/>
            <w:tcBorders>
              <w:top w:val="nil"/>
              <w:left w:val="nil"/>
              <w:bottom w:val="single" w:sz="4" w:space="0" w:color="auto"/>
              <w:right w:val="single" w:sz="4" w:space="0" w:color="auto"/>
            </w:tcBorders>
            <w:vAlign w:val="center"/>
            <w:hideMark/>
          </w:tcPr>
          <w:p w14:paraId="33C44C59"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Thừa nhận quy trình khảo nghiệm và công nhận thức ăn chăn nuôi của nước xuất khẩu; Đăng ký kiểm tra xác nhận chất lượng thức ăn chăn nuôi nhập khẩu; Cấp GCN đủ điều kiện sản xuất thức ăn chăn nuôi; Công bố lại thông tin sản phẩm thức ăn bổ sung; Công bố thông tin sản phẩm thức ăn bổ sung nhập khẩu</w:t>
            </w:r>
          </w:p>
        </w:tc>
      </w:tr>
      <w:tr w:rsidR="006652ED" w:rsidRPr="003D5FA9" w14:paraId="00619C0E" w14:textId="77777777" w:rsidTr="00BE1A88">
        <w:trPr>
          <w:gridAfter w:val="1"/>
          <w:wAfter w:w="7983" w:type="dxa"/>
          <w:trHeight w:val="1903"/>
        </w:trPr>
        <w:tc>
          <w:tcPr>
            <w:tcW w:w="670" w:type="dxa"/>
            <w:tcBorders>
              <w:top w:val="nil"/>
              <w:left w:val="single" w:sz="4" w:space="0" w:color="auto"/>
              <w:bottom w:val="single" w:sz="4" w:space="0" w:color="auto"/>
              <w:right w:val="single" w:sz="4" w:space="0" w:color="auto"/>
            </w:tcBorders>
            <w:vAlign w:val="center"/>
            <w:hideMark/>
          </w:tcPr>
          <w:p w14:paraId="184F2F8F"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8</w:t>
            </w:r>
          </w:p>
        </w:tc>
        <w:tc>
          <w:tcPr>
            <w:tcW w:w="1315" w:type="dxa"/>
            <w:vMerge/>
            <w:tcBorders>
              <w:left w:val="single" w:sz="4" w:space="0" w:color="auto"/>
              <w:bottom w:val="single" w:sz="4" w:space="0" w:color="auto"/>
              <w:right w:val="single" w:sz="4" w:space="0" w:color="auto"/>
            </w:tcBorders>
            <w:vAlign w:val="center"/>
            <w:hideMark/>
          </w:tcPr>
          <w:p w14:paraId="30E052D9"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single" w:sz="4" w:space="0" w:color="auto"/>
              <w:bottom w:val="single" w:sz="4" w:space="0" w:color="auto"/>
              <w:right w:val="single" w:sz="4" w:space="0" w:color="auto"/>
            </w:tcBorders>
            <w:vAlign w:val="center"/>
            <w:hideMark/>
          </w:tcPr>
          <w:p w14:paraId="28D716C4"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thuốc thú y và hành nghề thú y</w:t>
            </w:r>
          </w:p>
        </w:tc>
        <w:tc>
          <w:tcPr>
            <w:tcW w:w="5811" w:type="dxa"/>
            <w:tcBorders>
              <w:top w:val="single" w:sz="4" w:space="0" w:color="auto"/>
              <w:left w:val="nil"/>
              <w:bottom w:val="single" w:sz="4" w:space="0" w:color="auto"/>
              <w:right w:val="single" w:sz="4" w:space="0" w:color="auto"/>
            </w:tcBorders>
            <w:vAlign w:val="center"/>
            <w:hideMark/>
          </w:tcPr>
          <w:p w14:paraId="5E911F10"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lại giấy phép khảo nghiệm thuốc thú y;</w:t>
            </w:r>
            <w:r w:rsidRPr="003D5FA9">
              <w:rPr>
                <w:rFonts w:ascii="Times New Roman" w:eastAsia="Calibri" w:hAnsi="Times New Roman" w:cs="Times New Roman"/>
                <w:color w:val="000000"/>
                <w:sz w:val="24"/>
                <w:szCs w:val="28"/>
                <w:lang w:val="vi-VN"/>
              </w:rPr>
              <w:t xml:space="preserve"> </w:t>
            </w:r>
            <w:r w:rsidRPr="003D5FA9">
              <w:rPr>
                <w:rFonts w:ascii="Times New Roman" w:eastAsia="Calibri" w:hAnsi="Times New Roman" w:cs="Times New Roman"/>
                <w:color w:val="000000"/>
                <w:sz w:val="24"/>
                <w:szCs w:val="28"/>
              </w:rPr>
              <w:t>Cấp GCN lưu hành thuốc thú y; Cấp lại GCN lưu hành thuốc thú y; Cấp giấy phép nhập khẩu thuốc thú y, nguyên liệu làm thuốc thú y; Cấp GCN thực hành tốt sản xuất thuốc thú y (GMP) đối với cơ sở sản xuất thuốc thú y dạng dược phẩm, vắc xin; Cấp giấy phép khảo nghiệm thuốc thú y; Gia hạn GCN lưu hành thuốc thú y; Cấp, điều chỉnh, cấp lại Giấy phép  nhập khẩu, xuất khẩu thuốc thú y, nguyên liệu làm thuốc thú y có chứa chất ma túy, tiền chất, Cấp GCN đủ điều kiện buôn bán thuốc thú y…</w:t>
            </w:r>
          </w:p>
        </w:tc>
      </w:tr>
      <w:tr w:rsidR="006652ED" w:rsidRPr="003D5FA9" w14:paraId="1C5091E7" w14:textId="77777777" w:rsidTr="00BE1A88">
        <w:trPr>
          <w:gridAfter w:val="1"/>
          <w:wAfter w:w="7983" w:type="dxa"/>
          <w:trHeight w:val="570"/>
        </w:trPr>
        <w:tc>
          <w:tcPr>
            <w:tcW w:w="670" w:type="dxa"/>
            <w:vMerge w:val="restart"/>
            <w:tcBorders>
              <w:top w:val="nil"/>
              <w:left w:val="single" w:sz="4" w:space="0" w:color="auto"/>
              <w:bottom w:val="single" w:sz="4" w:space="0" w:color="auto"/>
              <w:right w:val="single" w:sz="4" w:space="0" w:color="auto"/>
            </w:tcBorders>
            <w:vAlign w:val="center"/>
            <w:hideMark/>
          </w:tcPr>
          <w:p w14:paraId="3BAC8680"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9</w:t>
            </w:r>
          </w:p>
        </w:tc>
        <w:tc>
          <w:tcPr>
            <w:tcW w:w="1315" w:type="dxa"/>
            <w:vMerge/>
            <w:tcBorders>
              <w:left w:val="single" w:sz="4" w:space="0" w:color="auto"/>
              <w:bottom w:val="single" w:sz="4" w:space="0" w:color="auto"/>
              <w:right w:val="single" w:sz="4" w:space="0" w:color="auto"/>
            </w:tcBorders>
            <w:vAlign w:val="center"/>
            <w:hideMark/>
          </w:tcPr>
          <w:p w14:paraId="64B0A5EE"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vMerge w:val="restart"/>
            <w:tcBorders>
              <w:top w:val="nil"/>
              <w:left w:val="single" w:sz="4" w:space="0" w:color="auto"/>
              <w:bottom w:val="single" w:sz="4" w:space="0" w:color="auto"/>
              <w:right w:val="single" w:sz="4" w:space="0" w:color="auto"/>
            </w:tcBorders>
            <w:vAlign w:val="center"/>
            <w:hideMark/>
          </w:tcPr>
          <w:p w14:paraId="67DA83FC"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phòng, chống dịch bệnh động vật</w:t>
            </w:r>
          </w:p>
        </w:tc>
        <w:tc>
          <w:tcPr>
            <w:tcW w:w="5811" w:type="dxa"/>
            <w:vMerge w:val="restart"/>
            <w:tcBorders>
              <w:top w:val="single" w:sz="4" w:space="0" w:color="auto"/>
              <w:left w:val="single" w:sz="4" w:space="0" w:color="auto"/>
              <w:bottom w:val="single" w:sz="4" w:space="0" w:color="auto"/>
              <w:right w:val="single" w:sz="4" w:space="0" w:color="auto"/>
            </w:tcBorders>
            <w:vAlign w:val="center"/>
            <w:hideMark/>
          </w:tcPr>
          <w:p w14:paraId="4506434C"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lại GCN cơ sở an toàn dịch bệnh động vật theo yêu cầu của nước nhập khẩu; Cấp GCN vùng an toàn dịch bệnh động vật cấp tỉnh và vùng an toàn dịch bệnh phục vụ xuất khẩu; Hỗ trợ cơ sở sản xuất bị thiệt hại do dịch bệnh động vật (cơ sở sản xuất không thuộc lực lượng vũ trang nhân dân)</w:t>
            </w:r>
          </w:p>
        </w:tc>
      </w:tr>
      <w:tr w:rsidR="006652ED" w:rsidRPr="003D5FA9" w14:paraId="534C7239" w14:textId="77777777" w:rsidTr="00BE1A88">
        <w:trPr>
          <w:trHeight w:val="561"/>
        </w:trPr>
        <w:tc>
          <w:tcPr>
            <w:tcW w:w="670" w:type="dxa"/>
            <w:vMerge/>
            <w:tcBorders>
              <w:top w:val="nil"/>
              <w:left w:val="single" w:sz="4" w:space="0" w:color="auto"/>
              <w:bottom w:val="single" w:sz="4" w:space="0" w:color="auto"/>
              <w:right w:val="single" w:sz="4" w:space="0" w:color="auto"/>
            </w:tcBorders>
            <w:vAlign w:val="center"/>
            <w:hideMark/>
          </w:tcPr>
          <w:p w14:paraId="59FA15D8" w14:textId="77777777" w:rsidR="006652ED" w:rsidRPr="003D5FA9" w:rsidRDefault="006652ED" w:rsidP="006652ED">
            <w:pPr>
              <w:spacing w:after="0" w:line="240" w:lineRule="auto"/>
              <w:rPr>
                <w:rFonts w:ascii="Times New Roman" w:eastAsia="Calibri" w:hAnsi="Times New Roman" w:cs="Times New Roman"/>
                <w:color w:val="1F1F1F"/>
                <w:sz w:val="24"/>
              </w:rPr>
            </w:pPr>
          </w:p>
        </w:tc>
        <w:tc>
          <w:tcPr>
            <w:tcW w:w="1315" w:type="dxa"/>
            <w:vMerge/>
            <w:tcBorders>
              <w:left w:val="single" w:sz="4" w:space="0" w:color="auto"/>
              <w:bottom w:val="single" w:sz="4" w:space="0" w:color="auto"/>
              <w:right w:val="single" w:sz="4" w:space="0" w:color="auto"/>
            </w:tcBorders>
            <w:vAlign w:val="center"/>
            <w:hideMark/>
          </w:tcPr>
          <w:p w14:paraId="6A24F1E2"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vMerge/>
            <w:tcBorders>
              <w:top w:val="nil"/>
              <w:left w:val="single" w:sz="4" w:space="0" w:color="auto"/>
              <w:bottom w:val="single" w:sz="4" w:space="0" w:color="auto"/>
              <w:right w:val="single" w:sz="4" w:space="0" w:color="auto"/>
            </w:tcBorders>
            <w:vAlign w:val="center"/>
            <w:hideMark/>
          </w:tcPr>
          <w:p w14:paraId="266052F4" w14:textId="77777777" w:rsidR="006652ED" w:rsidRPr="003D5FA9" w:rsidRDefault="006652ED" w:rsidP="006652ED">
            <w:pPr>
              <w:spacing w:after="0" w:line="240" w:lineRule="auto"/>
              <w:rPr>
                <w:rFonts w:ascii="Times New Roman" w:eastAsia="Calibri" w:hAnsi="Times New Roman" w:cs="Times New Roman"/>
                <w:color w:val="000000"/>
                <w:sz w:val="24"/>
                <w:szCs w:val="28"/>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14:paraId="585B2B0A" w14:textId="77777777" w:rsidR="006652ED" w:rsidRPr="003D5FA9" w:rsidRDefault="006652ED" w:rsidP="006652ED">
            <w:pPr>
              <w:spacing w:after="0" w:line="240" w:lineRule="auto"/>
              <w:rPr>
                <w:rFonts w:ascii="Times New Roman" w:eastAsia="Calibri" w:hAnsi="Times New Roman" w:cs="Times New Roman"/>
                <w:color w:val="000000"/>
                <w:sz w:val="24"/>
                <w:szCs w:val="28"/>
              </w:rPr>
            </w:pPr>
          </w:p>
        </w:tc>
        <w:tc>
          <w:tcPr>
            <w:tcW w:w="7983" w:type="dxa"/>
            <w:tcBorders>
              <w:top w:val="nil"/>
              <w:left w:val="nil"/>
              <w:bottom w:val="nil"/>
              <w:right w:val="nil"/>
            </w:tcBorders>
            <w:noWrap/>
            <w:vAlign w:val="bottom"/>
            <w:hideMark/>
          </w:tcPr>
          <w:p w14:paraId="3C8EF4A7" w14:textId="77777777" w:rsidR="006652ED" w:rsidRPr="003D5FA9" w:rsidRDefault="006652ED" w:rsidP="006652ED">
            <w:pPr>
              <w:spacing w:after="0" w:line="240" w:lineRule="auto"/>
              <w:rPr>
                <w:rFonts w:ascii="Times New Roman" w:eastAsia="Calibri" w:hAnsi="Times New Roman" w:cs="Times New Roman"/>
                <w:color w:val="000000"/>
                <w:sz w:val="24"/>
              </w:rPr>
            </w:pPr>
          </w:p>
        </w:tc>
      </w:tr>
      <w:tr w:rsidR="006652ED" w:rsidRPr="003D5FA9" w14:paraId="19B87342" w14:textId="77777777" w:rsidTr="00BE1A88">
        <w:trPr>
          <w:trHeight w:val="1944"/>
        </w:trPr>
        <w:tc>
          <w:tcPr>
            <w:tcW w:w="670" w:type="dxa"/>
            <w:tcBorders>
              <w:top w:val="nil"/>
              <w:left w:val="single" w:sz="4" w:space="0" w:color="auto"/>
              <w:bottom w:val="single" w:sz="4" w:space="0" w:color="auto"/>
              <w:right w:val="single" w:sz="4" w:space="0" w:color="auto"/>
            </w:tcBorders>
            <w:vAlign w:val="center"/>
            <w:hideMark/>
          </w:tcPr>
          <w:p w14:paraId="36C6E074"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10</w:t>
            </w:r>
          </w:p>
        </w:tc>
        <w:tc>
          <w:tcPr>
            <w:tcW w:w="1315" w:type="dxa"/>
            <w:vMerge/>
            <w:tcBorders>
              <w:left w:val="nil"/>
              <w:bottom w:val="single" w:sz="4" w:space="0" w:color="auto"/>
              <w:right w:val="single" w:sz="4" w:space="0" w:color="auto"/>
            </w:tcBorders>
            <w:vAlign w:val="center"/>
            <w:hideMark/>
          </w:tcPr>
          <w:p w14:paraId="069DA3A0"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689AF0A9"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kiểm dịch động vật, sản phẩm động vật</w:t>
            </w:r>
          </w:p>
        </w:tc>
        <w:tc>
          <w:tcPr>
            <w:tcW w:w="5811" w:type="dxa"/>
            <w:tcBorders>
              <w:top w:val="nil"/>
              <w:left w:val="nil"/>
              <w:bottom w:val="single" w:sz="4" w:space="0" w:color="auto"/>
              <w:right w:val="single" w:sz="4" w:space="0" w:color="auto"/>
            </w:tcBorders>
            <w:vAlign w:val="center"/>
            <w:hideMark/>
          </w:tcPr>
          <w:p w14:paraId="1B0F84CC"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GCN kiểm dịch động vật, sản phẩm động vật thủy sản xuất khẩu không dùng làm thực phẩm; Đăng ký kiểm dịch động vật, sản phẩm động vật trên cạn nhập khẩu; Cấp GCN cơ sở an toàn dịch bệnh động vật theo yêu cầu của nước nhập khẩu; Cấp GCN kiểm dịch động vật, sản phẩm động vật trên cạn tạm nhập tái xuất, tạm xuất tái nhập, chuyển cửa khẩu, quá cảnh lãnh thổ Việt Nam; Cấp GCN kiểm dịch động vật, sản phẩm động vật thủy sản nhập khẩu để tiêu thụ trong nước; Cấp GCN kiểm dịch động vật, sản phẩm động vật nhập khẩu mang theo người</w:t>
            </w:r>
          </w:p>
        </w:tc>
        <w:tc>
          <w:tcPr>
            <w:tcW w:w="7983" w:type="dxa"/>
            <w:vAlign w:val="center"/>
            <w:hideMark/>
          </w:tcPr>
          <w:p w14:paraId="3D66542F" w14:textId="77777777" w:rsidR="006652ED" w:rsidRPr="003D5FA9" w:rsidRDefault="006652ED" w:rsidP="006652ED">
            <w:pPr>
              <w:spacing w:after="0" w:line="240" w:lineRule="auto"/>
              <w:rPr>
                <w:rFonts w:ascii="Times New Roman" w:eastAsia="Calibri" w:hAnsi="Times New Roman" w:cs="Times New Roman"/>
                <w:sz w:val="24"/>
              </w:rPr>
            </w:pPr>
          </w:p>
        </w:tc>
      </w:tr>
      <w:tr w:rsidR="006652ED" w:rsidRPr="003D5FA9" w14:paraId="3361D032" w14:textId="77777777" w:rsidTr="00BE1A88">
        <w:trPr>
          <w:trHeight w:val="760"/>
        </w:trPr>
        <w:tc>
          <w:tcPr>
            <w:tcW w:w="670" w:type="dxa"/>
            <w:vMerge w:val="restart"/>
            <w:tcBorders>
              <w:top w:val="nil"/>
              <w:left w:val="single" w:sz="4" w:space="0" w:color="auto"/>
              <w:bottom w:val="single" w:sz="4" w:space="0" w:color="auto"/>
              <w:right w:val="single" w:sz="4" w:space="0" w:color="auto"/>
            </w:tcBorders>
            <w:vAlign w:val="center"/>
            <w:hideMark/>
          </w:tcPr>
          <w:p w14:paraId="542A58D5"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11</w:t>
            </w:r>
          </w:p>
        </w:tc>
        <w:tc>
          <w:tcPr>
            <w:tcW w:w="1315" w:type="dxa"/>
            <w:vMerge/>
            <w:tcBorders>
              <w:left w:val="single" w:sz="4" w:space="0" w:color="auto"/>
              <w:bottom w:val="single" w:sz="4" w:space="0" w:color="auto"/>
              <w:right w:val="single" w:sz="4" w:space="0" w:color="auto"/>
            </w:tcBorders>
            <w:vAlign w:val="center"/>
            <w:hideMark/>
          </w:tcPr>
          <w:p w14:paraId="779EC382"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vMerge w:val="restart"/>
            <w:tcBorders>
              <w:top w:val="nil"/>
              <w:left w:val="single" w:sz="4" w:space="0" w:color="auto"/>
              <w:bottom w:val="single" w:sz="4" w:space="0" w:color="auto"/>
              <w:right w:val="single" w:sz="4" w:space="0" w:color="auto"/>
            </w:tcBorders>
            <w:vAlign w:val="center"/>
            <w:hideMark/>
          </w:tcPr>
          <w:p w14:paraId="20BF5428"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về quản lý an toàn thực phẩm nông lâm thủy sản</w:t>
            </w:r>
          </w:p>
        </w:tc>
        <w:tc>
          <w:tcPr>
            <w:tcW w:w="5811" w:type="dxa"/>
            <w:vMerge w:val="restart"/>
            <w:tcBorders>
              <w:top w:val="nil"/>
              <w:left w:val="nil"/>
              <w:right w:val="single" w:sz="4" w:space="0" w:color="auto"/>
            </w:tcBorders>
            <w:vAlign w:val="center"/>
            <w:hideMark/>
          </w:tcPr>
          <w:p w14:paraId="670C34CE"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GCN an toàn thực phẩm (Chứng thư) cho lô hàng thuỷ sản và sản phẩm thuỷ sản dùng làm thực phẩm xuất khẩu sản xuất tại các cơ sở trong danh sách ưu tiên; Kiểm tra nhà nước về an toàn thực phẩm nhập khẩu theo phương thức kiểm tra thông thường thuộc thẩm quyền quản lý của Bộ Nông nghiệp và Môi trường</w:t>
            </w:r>
            <w:r w:rsidRPr="003D5FA9">
              <w:rPr>
                <w:rFonts w:ascii="Times New Roman" w:eastAsia="Calibri" w:hAnsi="Times New Roman" w:cs="Times New Roman"/>
                <w:color w:val="000000"/>
                <w:sz w:val="24"/>
                <w:szCs w:val="28"/>
                <w:lang w:val="vi-VN"/>
              </w:rPr>
              <w:t xml:space="preserve">; </w:t>
            </w:r>
            <w:r w:rsidRPr="003D5FA9">
              <w:rPr>
                <w:rFonts w:ascii="Times New Roman" w:eastAsia="Calibri" w:hAnsi="Times New Roman" w:cs="Times New Roman"/>
                <w:color w:val="000000"/>
                <w:sz w:val="24"/>
                <w:szCs w:val="28"/>
              </w:rPr>
              <w:t>Cấp lại GCN an toàn thực phẩm (Chứng thư) cho lô hàng thủy sản và sản phẩm thủy sản dùng làm thực phẩm xuất khẩu</w:t>
            </w:r>
            <w:r w:rsidRPr="003D5FA9">
              <w:rPr>
                <w:rFonts w:ascii="Times New Roman" w:eastAsia="Calibri" w:hAnsi="Times New Roman" w:cs="Times New Roman"/>
                <w:color w:val="000000"/>
                <w:sz w:val="24"/>
                <w:szCs w:val="28"/>
                <w:lang w:val="vi-VN"/>
              </w:rPr>
              <w:t xml:space="preserve">; </w:t>
            </w:r>
            <w:r w:rsidRPr="003D5FA9">
              <w:rPr>
                <w:rFonts w:ascii="Times New Roman" w:eastAsia="Calibri" w:hAnsi="Times New Roman" w:cs="Times New Roman"/>
                <w:color w:val="000000"/>
                <w:sz w:val="24"/>
                <w:szCs w:val="28"/>
              </w:rPr>
              <w:t xml:space="preserve">Cấp </w:t>
            </w:r>
            <w:r w:rsidRPr="003D5FA9">
              <w:rPr>
                <w:rFonts w:ascii="Times New Roman" w:eastAsia="Calibri" w:hAnsi="Times New Roman" w:cs="Times New Roman"/>
                <w:color w:val="000000"/>
                <w:sz w:val="24"/>
                <w:szCs w:val="28"/>
              </w:rPr>
              <w:lastRenderedPageBreak/>
              <w:t>GCN cơ sở đủ điều kiện an toàn thực phẩm đối với cơ sở sản xuất, kinh doanh thực phẩm nông, lâm, thủy sản</w:t>
            </w:r>
          </w:p>
        </w:tc>
        <w:tc>
          <w:tcPr>
            <w:tcW w:w="7983" w:type="dxa"/>
            <w:vAlign w:val="center"/>
            <w:hideMark/>
          </w:tcPr>
          <w:p w14:paraId="5A52BE77" w14:textId="77777777" w:rsidR="006652ED" w:rsidRPr="003D5FA9" w:rsidRDefault="006652ED" w:rsidP="006652ED">
            <w:pPr>
              <w:spacing w:after="0" w:line="240" w:lineRule="auto"/>
              <w:rPr>
                <w:rFonts w:ascii="Times New Roman" w:eastAsia="Calibri" w:hAnsi="Times New Roman" w:cs="Times New Roman"/>
                <w:sz w:val="24"/>
              </w:rPr>
            </w:pPr>
          </w:p>
        </w:tc>
      </w:tr>
      <w:tr w:rsidR="006652ED" w:rsidRPr="003D5FA9" w14:paraId="0930EECB" w14:textId="77777777" w:rsidTr="00BE1A88">
        <w:trPr>
          <w:trHeight w:val="760"/>
        </w:trPr>
        <w:tc>
          <w:tcPr>
            <w:tcW w:w="670" w:type="dxa"/>
            <w:vMerge/>
            <w:tcBorders>
              <w:top w:val="nil"/>
              <w:left w:val="single" w:sz="4" w:space="0" w:color="auto"/>
              <w:bottom w:val="single" w:sz="4" w:space="0" w:color="auto"/>
              <w:right w:val="single" w:sz="4" w:space="0" w:color="auto"/>
            </w:tcBorders>
            <w:vAlign w:val="center"/>
            <w:hideMark/>
          </w:tcPr>
          <w:p w14:paraId="4A7CD665" w14:textId="77777777" w:rsidR="006652ED" w:rsidRPr="003D5FA9" w:rsidRDefault="006652ED" w:rsidP="006652ED">
            <w:pPr>
              <w:spacing w:after="0" w:line="240" w:lineRule="auto"/>
              <w:rPr>
                <w:rFonts w:ascii="Times New Roman" w:eastAsia="Calibri" w:hAnsi="Times New Roman" w:cs="Times New Roman"/>
                <w:color w:val="1F1F1F"/>
                <w:sz w:val="24"/>
              </w:rPr>
            </w:pPr>
          </w:p>
        </w:tc>
        <w:tc>
          <w:tcPr>
            <w:tcW w:w="1315" w:type="dxa"/>
            <w:vMerge/>
            <w:tcBorders>
              <w:left w:val="single" w:sz="4" w:space="0" w:color="auto"/>
              <w:bottom w:val="single" w:sz="4" w:space="0" w:color="auto"/>
              <w:right w:val="single" w:sz="4" w:space="0" w:color="auto"/>
            </w:tcBorders>
            <w:vAlign w:val="center"/>
            <w:hideMark/>
          </w:tcPr>
          <w:p w14:paraId="3239BE6E"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vMerge/>
            <w:tcBorders>
              <w:top w:val="nil"/>
              <w:left w:val="single" w:sz="4" w:space="0" w:color="auto"/>
              <w:bottom w:val="single" w:sz="4" w:space="0" w:color="auto"/>
              <w:right w:val="single" w:sz="4" w:space="0" w:color="auto"/>
            </w:tcBorders>
            <w:vAlign w:val="center"/>
            <w:hideMark/>
          </w:tcPr>
          <w:p w14:paraId="6C4B3E5A" w14:textId="77777777" w:rsidR="006652ED" w:rsidRPr="003D5FA9" w:rsidRDefault="006652ED" w:rsidP="006652ED">
            <w:pPr>
              <w:spacing w:after="0" w:line="240" w:lineRule="auto"/>
              <w:rPr>
                <w:rFonts w:ascii="Times New Roman" w:eastAsia="Calibri" w:hAnsi="Times New Roman" w:cs="Times New Roman"/>
                <w:color w:val="000000"/>
                <w:sz w:val="24"/>
                <w:szCs w:val="28"/>
              </w:rPr>
            </w:pPr>
          </w:p>
        </w:tc>
        <w:tc>
          <w:tcPr>
            <w:tcW w:w="5811" w:type="dxa"/>
            <w:vMerge/>
            <w:tcBorders>
              <w:left w:val="nil"/>
              <w:right w:val="single" w:sz="4" w:space="0" w:color="auto"/>
            </w:tcBorders>
            <w:vAlign w:val="center"/>
            <w:hideMark/>
          </w:tcPr>
          <w:p w14:paraId="1DA3EBF9" w14:textId="77777777" w:rsidR="006652ED" w:rsidRPr="003D5FA9" w:rsidRDefault="006652ED" w:rsidP="006652ED">
            <w:pPr>
              <w:spacing w:after="0" w:line="240" w:lineRule="auto"/>
              <w:rPr>
                <w:rFonts w:ascii="Times New Roman" w:eastAsia="Calibri" w:hAnsi="Times New Roman" w:cs="Times New Roman"/>
                <w:color w:val="000000"/>
                <w:sz w:val="24"/>
                <w:szCs w:val="28"/>
              </w:rPr>
            </w:pPr>
          </w:p>
        </w:tc>
        <w:tc>
          <w:tcPr>
            <w:tcW w:w="7983" w:type="dxa"/>
            <w:vAlign w:val="center"/>
            <w:hideMark/>
          </w:tcPr>
          <w:p w14:paraId="34A06AE0" w14:textId="77777777" w:rsidR="006652ED" w:rsidRPr="003D5FA9" w:rsidRDefault="006652ED" w:rsidP="006652ED">
            <w:pPr>
              <w:spacing w:after="0" w:line="240" w:lineRule="auto"/>
              <w:rPr>
                <w:rFonts w:ascii="Times New Roman" w:eastAsia="Calibri" w:hAnsi="Times New Roman" w:cs="Times New Roman"/>
                <w:sz w:val="24"/>
              </w:rPr>
            </w:pPr>
          </w:p>
        </w:tc>
      </w:tr>
      <w:tr w:rsidR="006652ED" w:rsidRPr="003D5FA9" w14:paraId="7C9DA5DB" w14:textId="77777777" w:rsidTr="00BE1A88">
        <w:trPr>
          <w:trHeight w:val="295"/>
        </w:trPr>
        <w:tc>
          <w:tcPr>
            <w:tcW w:w="670" w:type="dxa"/>
            <w:vMerge/>
            <w:tcBorders>
              <w:top w:val="nil"/>
              <w:left w:val="single" w:sz="4" w:space="0" w:color="auto"/>
              <w:bottom w:val="single" w:sz="4" w:space="0" w:color="auto"/>
              <w:right w:val="single" w:sz="4" w:space="0" w:color="auto"/>
            </w:tcBorders>
            <w:vAlign w:val="center"/>
            <w:hideMark/>
          </w:tcPr>
          <w:p w14:paraId="354585F0" w14:textId="77777777" w:rsidR="006652ED" w:rsidRPr="003D5FA9" w:rsidRDefault="006652ED" w:rsidP="006652ED">
            <w:pPr>
              <w:spacing w:after="0" w:line="240" w:lineRule="auto"/>
              <w:rPr>
                <w:rFonts w:ascii="Times New Roman" w:eastAsia="Calibri" w:hAnsi="Times New Roman" w:cs="Times New Roman"/>
                <w:color w:val="1F1F1F"/>
                <w:sz w:val="24"/>
              </w:rPr>
            </w:pPr>
          </w:p>
        </w:tc>
        <w:tc>
          <w:tcPr>
            <w:tcW w:w="1315" w:type="dxa"/>
            <w:vMerge/>
            <w:tcBorders>
              <w:left w:val="single" w:sz="4" w:space="0" w:color="auto"/>
              <w:bottom w:val="single" w:sz="4" w:space="0" w:color="auto"/>
              <w:right w:val="single" w:sz="4" w:space="0" w:color="auto"/>
            </w:tcBorders>
            <w:vAlign w:val="center"/>
            <w:hideMark/>
          </w:tcPr>
          <w:p w14:paraId="473017C3"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vMerge/>
            <w:tcBorders>
              <w:top w:val="nil"/>
              <w:left w:val="single" w:sz="4" w:space="0" w:color="auto"/>
              <w:bottom w:val="single" w:sz="4" w:space="0" w:color="auto"/>
              <w:right w:val="single" w:sz="4" w:space="0" w:color="auto"/>
            </w:tcBorders>
            <w:vAlign w:val="center"/>
            <w:hideMark/>
          </w:tcPr>
          <w:p w14:paraId="1B0C69EF" w14:textId="77777777" w:rsidR="006652ED" w:rsidRPr="003D5FA9" w:rsidRDefault="006652ED" w:rsidP="006652ED">
            <w:pPr>
              <w:spacing w:after="0" w:line="240" w:lineRule="auto"/>
              <w:rPr>
                <w:rFonts w:ascii="Times New Roman" w:eastAsia="Calibri" w:hAnsi="Times New Roman" w:cs="Times New Roman"/>
                <w:color w:val="000000"/>
                <w:sz w:val="24"/>
                <w:szCs w:val="28"/>
              </w:rPr>
            </w:pPr>
          </w:p>
        </w:tc>
        <w:tc>
          <w:tcPr>
            <w:tcW w:w="5811" w:type="dxa"/>
            <w:vMerge/>
            <w:tcBorders>
              <w:left w:val="nil"/>
              <w:right w:val="single" w:sz="4" w:space="0" w:color="auto"/>
            </w:tcBorders>
            <w:vAlign w:val="center"/>
            <w:hideMark/>
          </w:tcPr>
          <w:p w14:paraId="4648C459" w14:textId="77777777" w:rsidR="006652ED" w:rsidRPr="003D5FA9" w:rsidRDefault="006652ED" w:rsidP="006652ED">
            <w:pPr>
              <w:spacing w:after="0" w:line="240" w:lineRule="auto"/>
              <w:rPr>
                <w:rFonts w:ascii="Times New Roman" w:eastAsia="Calibri" w:hAnsi="Times New Roman" w:cs="Times New Roman"/>
                <w:color w:val="000000"/>
                <w:sz w:val="24"/>
                <w:szCs w:val="28"/>
                <w:lang w:val="vi-VN"/>
              </w:rPr>
            </w:pPr>
          </w:p>
        </w:tc>
        <w:tc>
          <w:tcPr>
            <w:tcW w:w="7983" w:type="dxa"/>
            <w:vAlign w:val="center"/>
            <w:hideMark/>
          </w:tcPr>
          <w:p w14:paraId="70A171F5" w14:textId="77777777" w:rsidR="006652ED" w:rsidRPr="003D5FA9" w:rsidRDefault="006652ED" w:rsidP="006652ED">
            <w:pPr>
              <w:spacing w:after="0" w:line="240" w:lineRule="auto"/>
              <w:rPr>
                <w:rFonts w:ascii="Times New Roman" w:eastAsia="Calibri" w:hAnsi="Times New Roman" w:cs="Times New Roman"/>
                <w:sz w:val="24"/>
              </w:rPr>
            </w:pPr>
          </w:p>
        </w:tc>
      </w:tr>
      <w:tr w:rsidR="006652ED" w:rsidRPr="003D5FA9" w14:paraId="11C8A00D" w14:textId="77777777" w:rsidTr="00BE1A88">
        <w:trPr>
          <w:trHeight w:val="54"/>
        </w:trPr>
        <w:tc>
          <w:tcPr>
            <w:tcW w:w="670" w:type="dxa"/>
            <w:vMerge/>
            <w:tcBorders>
              <w:top w:val="nil"/>
              <w:left w:val="single" w:sz="4" w:space="0" w:color="auto"/>
              <w:bottom w:val="single" w:sz="4" w:space="0" w:color="auto"/>
              <w:right w:val="single" w:sz="4" w:space="0" w:color="auto"/>
            </w:tcBorders>
            <w:vAlign w:val="center"/>
            <w:hideMark/>
          </w:tcPr>
          <w:p w14:paraId="46F0CB74" w14:textId="77777777" w:rsidR="006652ED" w:rsidRPr="003D5FA9" w:rsidRDefault="006652ED" w:rsidP="006652ED">
            <w:pPr>
              <w:spacing w:after="0" w:line="240" w:lineRule="auto"/>
              <w:rPr>
                <w:rFonts w:ascii="Times New Roman" w:eastAsia="Calibri" w:hAnsi="Times New Roman" w:cs="Times New Roman"/>
                <w:color w:val="1F1F1F"/>
                <w:sz w:val="24"/>
              </w:rPr>
            </w:pPr>
          </w:p>
        </w:tc>
        <w:tc>
          <w:tcPr>
            <w:tcW w:w="1315" w:type="dxa"/>
            <w:vMerge/>
            <w:tcBorders>
              <w:left w:val="single" w:sz="4" w:space="0" w:color="auto"/>
              <w:bottom w:val="single" w:sz="4" w:space="0" w:color="auto"/>
              <w:right w:val="single" w:sz="4" w:space="0" w:color="auto"/>
            </w:tcBorders>
            <w:vAlign w:val="center"/>
            <w:hideMark/>
          </w:tcPr>
          <w:p w14:paraId="1EB9F596"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vMerge/>
            <w:tcBorders>
              <w:top w:val="nil"/>
              <w:left w:val="single" w:sz="4" w:space="0" w:color="auto"/>
              <w:bottom w:val="single" w:sz="4" w:space="0" w:color="auto"/>
              <w:right w:val="single" w:sz="4" w:space="0" w:color="auto"/>
            </w:tcBorders>
            <w:vAlign w:val="center"/>
            <w:hideMark/>
          </w:tcPr>
          <w:p w14:paraId="5F0F4A2A" w14:textId="77777777" w:rsidR="006652ED" w:rsidRPr="003D5FA9" w:rsidRDefault="006652ED" w:rsidP="006652ED">
            <w:pPr>
              <w:spacing w:after="0" w:line="240" w:lineRule="auto"/>
              <w:rPr>
                <w:rFonts w:ascii="Times New Roman" w:eastAsia="Calibri" w:hAnsi="Times New Roman" w:cs="Times New Roman"/>
                <w:color w:val="000000"/>
                <w:sz w:val="24"/>
                <w:szCs w:val="28"/>
              </w:rPr>
            </w:pPr>
          </w:p>
        </w:tc>
        <w:tc>
          <w:tcPr>
            <w:tcW w:w="5811" w:type="dxa"/>
            <w:vMerge/>
            <w:tcBorders>
              <w:left w:val="nil"/>
              <w:bottom w:val="single" w:sz="4" w:space="0" w:color="auto"/>
              <w:right w:val="single" w:sz="4" w:space="0" w:color="auto"/>
            </w:tcBorders>
            <w:vAlign w:val="center"/>
            <w:hideMark/>
          </w:tcPr>
          <w:p w14:paraId="689D22D1" w14:textId="77777777" w:rsidR="006652ED" w:rsidRPr="003D5FA9" w:rsidRDefault="006652ED" w:rsidP="006652ED">
            <w:pPr>
              <w:spacing w:after="0" w:line="240" w:lineRule="auto"/>
              <w:rPr>
                <w:rFonts w:ascii="Times New Roman" w:eastAsia="Calibri" w:hAnsi="Times New Roman" w:cs="Times New Roman"/>
                <w:color w:val="000000"/>
                <w:sz w:val="24"/>
                <w:szCs w:val="28"/>
              </w:rPr>
            </w:pPr>
          </w:p>
        </w:tc>
        <w:tc>
          <w:tcPr>
            <w:tcW w:w="7983" w:type="dxa"/>
            <w:vAlign w:val="center"/>
            <w:hideMark/>
          </w:tcPr>
          <w:p w14:paraId="6F4DABE7" w14:textId="77777777" w:rsidR="006652ED" w:rsidRPr="003D5FA9" w:rsidRDefault="006652ED" w:rsidP="006652ED">
            <w:pPr>
              <w:spacing w:after="0" w:line="240" w:lineRule="auto"/>
              <w:rPr>
                <w:rFonts w:ascii="Times New Roman" w:eastAsia="Calibri" w:hAnsi="Times New Roman" w:cs="Times New Roman"/>
                <w:sz w:val="24"/>
              </w:rPr>
            </w:pPr>
          </w:p>
        </w:tc>
      </w:tr>
      <w:tr w:rsidR="006652ED" w:rsidRPr="003D5FA9" w14:paraId="74CB3E5F" w14:textId="77777777" w:rsidTr="00BE1A88">
        <w:trPr>
          <w:gridAfter w:val="1"/>
          <w:wAfter w:w="7983" w:type="dxa"/>
          <w:trHeight w:val="603"/>
        </w:trPr>
        <w:tc>
          <w:tcPr>
            <w:tcW w:w="670" w:type="dxa"/>
            <w:tcBorders>
              <w:top w:val="nil"/>
              <w:left w:val="single" w:sz="4" w:space="0" w:color="auto"/>
              <w:bottom w:val="single" w:sz="4" w:space="0" w:color="auto"/>
              <w:right w:val="single" w:sz="4" w:space="0" w:color="auto"/>
            </w:tcBorders>
            <w:vAlign w:val="center"/>
            <w:hideMark/>
          </w:tcPr>
          <w:p w14:paraId="58B0D230"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lastRenderedPageBreak/>
              <w:t>12</w:t>
            </w:r>
          </w:p>
        </w:tc>
        <w:tc>
          <w:tcPr>
            <w:tcW w:w="1315" w:type="dxa"/>
            <w:vMerge w:val="restart"/>
            <w:tcBorders>
              <w:top w:val="single" w:sz="4" w:space="0" w:color="auto"/>
              <w:left w:val="nil"/>
              <w:right w:val="single" w:sz="4" w:space="0" w:color="auto"/>
            </w:tcBorders>
            <w:vAlign w:val="center"/>
            <w:hideMark/>
          </w:tcPr>
          <w:p w14:paraId="127C4F83" w14:textId="77777777" w:rsidR="006652ED" w:rsidRPr="003D5FA9" w:rsidRDefault="006652ED" w:rsidP="006652ED">
            <w:pPr>
              <w:spacing w:after="0" w:line="240" w:lineRule="auto"/>
              <w:jc w:val="center"/>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Bộ Xây dựng</w:t>
            </w:r>
          </w:p>
        </w:tc>
        <w:tc>
          <w:tcPr>
            <w:tcW w:w="2410" w:type="dxa"/>
            <w:tcBorders>
              <w:top w:val="nil"/>
              <w:left w:val="nil"/>
              <w:bottom w:val="single" w:sz="4" w:space="0" w:color="auto"/>
              <w:right w:val="single" w:sz="4" w:space="0" w:color="auto"/>
            </w:tcBorders>
            <w:vAlign w:val="center"/>
            <w:hideMark/>
          </w:tcPr>
          <w:p w14:paraId="4603006C"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CSDL về Quản lý Hạ tầng &amp; Hoạt động Giao thông (Hàng hải, Hàng không, Đường thủy)</w:t>
            </w:r>
          </w:p>
        </w:tc>
        <w:tc>
          <w:tcPr>
            <w:tcW w:w="5811" w:type="dxa"/>
            <w:tcBorders>
              <w:top w:val="nil"/>
              <w:left w:val="nil"/>
              <w:bottom w:val="single" w:sz="4" w:space="0" w:color="auto"/>
              <w:right w:val="single" w:sz="4" w:space="0" w:color="auto"/>
            </w:tcBorders>
            <w:vAlign w:val="center"/>
            <w:hideMark/>
          </w:tcPr>
          <w:p w14:paraId="7C341309"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Cấp Giấy phép hoạt động bay (liên quan đến vị trí sân bay, luồng không lưu), Cấp phép khai thác cảng biển.</w:t>
            </w:r>
          </w:p>
        </w:tc>
      </w:tr>
      <w:tr w:rsidR="006652ED" w:rsidRPr="003D5FA9" w14:paraId="6AE116F4" w14:textId="77777777" w:rsidTr="00BE1A88">
        <w:trPr>
          <w:gridAfter w:val="1"/>
          <w:wAfter w:w="7983" w:type="dxa"/>
          <w:trHeight w:val="715"/>
        </w:trPr>
        <w:tc>
          <w:tcPr>
            <w:tcW w:w="670" w:type="dxa"/>
            <w:tcBorders>
              <w:top w:val="nil"/>
              <w:left w:val="single" w:sz="4" w:space="0" w:color="auto"/>
              <w:bottom w:val="single" w:sz="4" w:space="0" w:color="auto"/>
              <w:right w:val="single" w:sz="4" w:space="0" w:color="auto"/>
            </w:tcBorders>
            <w:vAlign w:val="center"/>
            <w:hideMark/>
          </w:tcPr>
          <w:p w14:paraId="3424B753"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13</w:t>
            </w:r>
          </w:p>
        </w:tc>
        <w:tc>
          <w:tcPr>
            <w:tcW w:w="1315" w:type="dxa"/>
            <w:vMerge/>
            <w:tcBorders>
              <w:left w:val="single" w:sz="4" w:space="0" w:color="auto"/>
              <w:right w:val="single" w:sz="4" w:space="0" w:color="auto"/>
            </w:tcBorders>
            <w:vAlign w:val="center"/>
            <w:hideMark/>
          </w:tcPr>
          <w:p w14:paraId="7F99CBE2"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single" w:sz="4" w:space="0" w:color="auto"/>
              <w:bottom w:val="single" w:sz="4" w:space="0" w:color="auto"/>
              <w:right w:val="single" w:sz="4" w:space="0" w:color="auto"/>
            </w:tcBorders>
            <w:vAlign w:val="center"/>
            <w:hideMark/>
          </w:tcPr>
          <w:p w14:paraId="4A2F8A0C"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nhà cho thuê</w:t>
            </w:r>
          </w:p>
        </w:tc>
        <w:tc>
          <w:tcPr>
            <w:tcW w:w="5811" w:type="dxa"/>
            <w:tcBorders>
              <w:top w:val="single" w:sz="4" w:space="0" w:color="auto"/>
              <w:left w:val="nil"/>
              <w:bottom w:val="single" w:sz="4" w:space="0" w:color="auto"/>
              <w:right w:val="single" w:sz="4" w:space="0" w:color="auto"/>
            </w:tcBorders>
            <w:vAlign w:val="center"/>
            <w:hideMark/>
          </w:tcPr>
          <w:p w14:paraId="1CCFCC66"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Đăng ký hợp đồng thuê nhà; Quản lý thông tin về thị trường bất động sản, hỗ trợ các chính sách nhà ở xã hội.</w:t>
            </w:r>
          </w:p>
        </w:tc>
      </w:tr>
      <w:tr w:rsidR="006652ED" w:rsidRPr="003D5FA9" w14:paraId="651C5E14" w14:textId="77777777" w:rsidTr="00BE1A88">
        <w:trPr>
          <w:gridAfter w:val="1"/>
          <w:wAfter w:w="7983" w:type="dxa"/>
          <w:trHeight w:val="691"/>
        </w:trPr>
        <w:tc>
          <w:tcPr>
            <w:tcW w:w="670" w:type="dxa"/>
            <w:tcBorders>
              <w:top w:val="nil"/>
              <w:left w:val="single" w:sz="4" w:space="0" w:color="auto"/>
              <w:bottom w:val="single" w:sz="4" w:space="0" w:color="auto"/>
              <w:right w:val="single" w:sz="4" w:space="0" w:color="auto"/>
            </w:tcBorders>
            <w:vAlign w:val="center"/>
            <w:hideMark/>
          </w:tcPr>
          <w:p w14:paraId="583A8DCB"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14</w:t>
            </w:r>
          </w:p>
        </w:tc>
        <w:tc>
          <w:tcPr>
            <w:tcW w:w="1315" w:type="dxa"/>
            <w:vMerge/>
            <w:tcBorders>
              <w:left w:val="nil"/>
              <w:right w:val="single" w:sz="4" w:space="0" w:color="auto"/>
            </w:tcBorders>
            <w:vAlign w:val="center"/>
            <w:hideMark/>
          </w:tcPr>
          <w:p w14:paraId="595E8806"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1A9541DF"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Quốc gia về Hồ sơ thiết kế và Bản vẽ xây dựng</w:t>
            </w:r>
          </w:p>
        </w:tc>
        <w:tc>
          <w:tcPr>
            <w:tcW w:w="5811" w:type="dxa"/>
            <w:tcBorders>
              <w:top w:val="single" w:sz="4" w:space="0" w:color="auto"/>
              <w:left w:val="nil"/>
              <w:bottom w:val="single" w:sz="4" w:space="0" w:color="auto"/>
              <w:right w:val="single" w:sz="4" w:space="0" w:color="auto"/>
            </w:tcBorders>
            <w:vAlign w:val="center"/>
            <w:hideMark/>
          </w:tcPr>
          <w:p w14:paraId="6B0CCCDE"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Công bố lại hoạt động bến thủy nội địa;</w:t>
            </w:r>
            <w:r w:rsidRPr="003D5FA9">
              <w:rPr>
                <w:rFonts w:ascii="Times New Roman" w:eastAsia="Calibri" w:hAnsi="Times New Roman" w:cs="Times New Roman"/>
                <w:color w:val="000000"/>
                <w:sz w:val="24"/>
                <w:szCs w:val="28"/>
              </w:rPr>
              <w:br/>
              <w:t>Công bố thông báo hàng hải về khu vực thi công công trình trên biển hoặc trên luồng hàng hải</w:t>
            </w:r>
          </w:p>
        </w:tc>
      </w:tr>
      <w:tr w:rsidR="006652ED" w:rsidRPr="003D5FA9" w14:paraId="1467BA07" w14:textId="77777777" w:rsidTr="00BE1A88">
        <w:trPr>
          <w:gridAfter w:val="1"/>
          <w:wAfter w:w="7983" w:type="dxa"/>
          <w:trHeight w:val="770"/>
        </w:trPr>
        <w:tc>
          <w:tcPr>
            <w:tcW w:w="670" w:type="dxa"/>
            <w:tcBorders>
              <w:top w:val="nil"/>
              <w:left w:val="single" w:sz="4" w:space="0" w:color="auto"/>
              <w:bottom w:val="single" w:sz="4" w:space="0" w:color="auto"/>
              <w:right w:val="single" w:sz="4" w:space="0" w:color="auto"/>
            </w:tcBorders>
            <w:vAlign w:val="center"/>
            <w:hideMark/>
          </w:tcPr>
          <w:p w14:paraId="0C5201CE"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15</w:t>
            </w:r>
          </w:p>
        </w:tc>
        <w:tc>
          <w:tcPr>
            <w:tcW w:w="1315" w:type="dxa"/>
            <w:vMerge/>
            <w:tcBorders>
              <w:left w:val="nil"/>
              <w:bottom w:val="single" w:sz="4" w:space="0" w:color="auto"/>
              <w:right w:val="single" w:sz="4" w:space="0" w:color="auto"/>
            </w:tcBorders>
            <w:vAlign w:val="center"/>
            <w:hideMark/>
          </w:tcPr>
          <w:p w14:paraId="411BFBD3"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6998AC22"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Cấp giấy phép xây dựng, sửa chữa, cải tạo công trình xây dựng</w:t>
            </w:r>
          </w:p>
        </w:tc>
        <w:tc>
          <w:tcPr>
            <w:tcW w:w="5811" w:type="dxa"/>
            <w:tcBorders>
              <w:top w:val="nil"/>
              <w:left w:val="nil"/>
              <w:bottom w:val="single" w:sz="4" w:space="0" w:color="auto"/>
              <w:right w:val="single" w:sz="4" w:space="0" w:color="auto"/>
            </w:tcBorders>
            <w:vAlign w:val="center"/>
            <w:hideMark/>
          </w:tcPr>
          <w:p w14:paraId="2110966E"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Giấy phép xây dựng mới/sửa chữa; Cung cấp dữ liệu quy hoạch phục vụ công tác cấp phép.</w:t>
            </w:r>
          </w:p>
        </w:tc>
      </w:tr>
      <w:tr w:rsidR="006652ED" w:rsidRPr="003D5FA9" w14:paraId="39F1ADFA" w14:textId="77777777" w:rsidTr="00BE1A88">
        <w:trPr>
          <w:gridAfter w:val="1"/>
          <w:wAfter w:w="7983" w:type="dxa"/>
          <w:trHeight w:val="631"/>
        </w:trPr>
        <w:tc>
          <w:tcPr>
            <w:tcW w:w="670" w:type="dxa"/>
            <w:tcBorders>
              <w:top w:val="nil"/>
              <w:left w:val="single" w:sz="4" w:space="0" w:color="auto"/>
              <w:bottom w:val="single" w:sz="4" w:space="0" w:color="auto"/>
              <w:right w:val="single" w:sz="4" w:space="0" w:color="auto"/>
            </w:tcBorders>
            <w:vAlign w:val="center"/>
            <w:hideMark/>
          </w:tcPr>
          <w:p w14:paraId="6A585DA1"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rPr>
              <w:t>1</w:t>
            </w:r>
            <w:r w:rsidRPr="003D5FA9">
              <w:rPr>
                <w:rFonts w:ascii="Times New Roman" w:eastAsia="Calibri" w:hAnsi="Times New Roman" w:cs="Times New Roman"/>
                <w:color w:val="1F1F1F"/>
                <w:sz w:val="24"/>
                <w:lang w:val="vi-VN"/>
              </w:rPr>
              <w:t>6</w:t>
            </w:r>
          </w:p>
        </w:tc>
        <w:tc>
          <w:tcPr>
            <w:tcW w:w="1315" w:type="dxa"/>
            <w:vMerge w:val="restart"/>
            <w:tcBorders>
              <w:top w:val="nil"/>
              <w:left w:val="nil"/>
              <w:right w:val="single" w:sz="4" w:space="0" w:color="auto"/>
            </w:tcBorders>
            <w:vAlign w:val="center"/>
            <w:hideMark/>
          </w:tcPr>
          <w:p w14:paraId="5B0CE771" w14:textId="77777777" w:rsidR="006652ED" w:rsidRPr="003D5FA9" w:rsidRDefault="006652ED" w:rsidP="006652ED">
            <w:pPr>
              <w:spacing w:after="0" w:line="240" w:lineRule="auto"/>
              <w:jc w:val="center"/>
              <w:rPr>
                <w:rFonts w:ascii="Times New Roman" w:eastAsia="Calibri" w:hAnsi="Times New Roman" w:cs="Times New Roman"/>
                <w:sz w:val="24"/>
                <w:szCs w:val="28"/>
              </w:rPr>
            </w:pPr>
            <w:r w:rsidRPr="003D5FA9">
              <w:rPr>
                <w:rFonts w:ascii="Times New Roman" w:eastAsia="Calibri" w:hAnsi="Times New Roman" w:cs="Times New Roman"/>
                <w:sz w:val="24"/>
                <w:szCs w:val="28"/>
              </w:rPr>
              <w:t>Ngân hàng Nhà nước</w:t>
            </w:r>
          </w:p>
        </w:tc>
        <w:tc>
          <w:tcPr>
            <w:tcW w:w="2410" w:type="dxa"/>
            <w:tcBorders>
              <w:top w:val="nil"/>
              <w:left w:val="nil"/>
              <w:bottom w:val="single" w:sz="4" w:space="0" w:color="auto"/>
              <w:right w:val="single" w:sz="4" w:space="0" w:color="auto"/>
            </w:tcBorders>
            <w:vAlign w:val="center"/>
            <w:hideMark/>
          </w:tcPr>
          <w:p w14:paraId="1917C0DB" w14:textId="77777777" w:rsidR="006652ED" w:rsidRPr="003D5FA9" w:rsidRDefault="006652ED" w:rsidP="006652ED">
            <w:pPr>
              <w:spacing w:after="0" w:line="240" w:lineRule="auto"/>
              <w:rPr>
                <w:rFonts w:ascii="Times New Roman" w:eastAsia="Calibri" w:hAnsi="Times New Roman" w:cs="Times New Roman"/>
                <w:sz w:val="24"/>
                <w:szCs w:val="28"/>
              </w:rPr>
            </w:pPr>
            <w:r w:rsidRPr="003D5FA9">
              <w:rPr>
                <w:rFonts w:ascii="Times New Roman" w:eastAsia="Calibri" w:hAnsi="Times New Roman" w:cs="Times New Roman"/>
                <w:sz w:val="24"/>
                <w:szCs w:val="28"/>
              </w:rPr>
              <w:t>CSDL về Các Tổ chức tín dụng và Hoạt động ngân hàng</w:t>
            </w:r>
          </w:p>
        </w:tc>
        <w:tc>
          <w:tcPr>
            <w:tcW w:w="5811" w:type="dxa"/>
            <w:tcBorders>
              <w:top w:val="nil"/>
              <w:left w:val="nil"/>
              <w:bottom w:val="single" w:sz="4" w:space="0" w:color="auto"/>
              <w:right w:val="single" w:sz="4" w:space="0" w:color="auto"/>
            </w:tcBorders>
            <w:vAlign w:val="center"/>
            <w:hideMark/>
          </w:tcPr>
          <w:p w14:paraId="3F4E4D21" w14:textId="77777777" w:rsidR="006652ED" w:rsidRPr="003D5FA9" w:rsidRDefault="006652ED" w:rsidP="006652ED">
            <w:pPr>
              <w:spacing w:after="0" w:line="240" w:lineRule="auto"/>
              <w:rPr>
                <w:rFonts w:ascii="Times New Roman" w:eastAsia="Calibri" w:hAnsi="Times New Roman" w:cs="Times New Roman"/>
                <w:sz w:val="24"/>
                <w:szCs w:val="28"/>
              </w:rPr>
            </w:pPr>
            <w:r w:rsidRPr="003D5FA9">
              <w:rPr>
                <w:rFonts w:ascii="Times New Roman" w:eastAsia="Calibri" w:hAnsi="Times New Roman" w:cs="Times New Roman"/>
                <w:sz w:val="24"/>
                <w:szCs w:val="28"/>
              </w:rPr>
              <w:t>Cấp Giấy phép thành lập và hoạt động ngân hàng, Điều chỉnh Giấy phép thành lập chi nhánh/văn phòng đại diện.</w:t>
            </w:r>
          </w:p>
        </w:tc>
      </w:tr>
      <w:tr w:rsidR="006652ED" w:rsidRPr="003D5FA9" w14:paraId="690006AD"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07AC1223"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17</w:t>
            </w:r>
          </w:p>
        </w:tc>
        <w:tc>
          <w:tcPr>
            <w:tcW w:w="1315" w:type="dxa"/>
            <w:vMerge/>
            <w:tcBorders>
              <w:left w:val="nil"/>
              <w:right w:val="single" w:sz="4" w:space="0" w:color="auto"/>
            </w:tcBorders>
            <w:vAlign w:val="center"/>
            <w:hideMark/>
          </w:tcPr>
          <w:p w14:paraId="6F4072AC" w14:textId="77777777" w:rsidR="006652ED" w:rsidRPr="003D5FA9" w:rsidRDefault="006652ED" w:rsidP="006652ED">
            <w:pPr>
              <w:spacing w:after="0" w:line="240" w:lineRule="auto"/>
              <w:jc w:val="center"/>
              <w:rPr>
                <w:rFonts w:ascii="Times New Roman" w:eastAsia="Calibri" w:hAnsi="Times New Roman" w:cs="Times New Roman"/>
                <w:color w:val="1F1F1F"/>
                <w:sz w:val="24"/>
                <w:szCs w:val="28"/>
              </w:rPr>
            </w:pPr>
          </w:p>
        </w:tc>
        <w:tc>
          <w:tcPr>
            <w:tcW w:w="2410" w:type="dxa"/>
            <w:tcBorders>
              <w:top w:val="nil"/>
              <w:left w:val="nil"/>
              <w:bottom w:val="single" w:sz="4" w:space="0" w:color="auto"/>
              <w:right w:val="single" w:sz="4" w:space="0" w:color="auto"/>
            </w:tcBorders>
            <w:vAlign w:val="center"/>
            <w:hideMark/>
          </w:tcPr>
          <w:p w14:paraId="167C25E6"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CSDL về Quản lý Vốn ủy thác và Tín dụng đầu tư</w:t>
            </w:r>
          </w:p>
        </w:tc>
        <w:tc>
          <w:tcPr>
            <w:tcW w:w="5811" w:type="dxa"/>
            <w:tcBorders>
              <w:top w:val="nil"/>
              <w:left w:val="nil"/>
              <w:bottom w:val="single" w:sz="4" w:space="0" w:color="auto"/>
              <w:right w:val="single" w:sz="4" w:space="0" w:color="auto"/>
            </w:tcBorders>
            <w:vAlign w:val="center"/>
            <w:hideMark/>
          </w:tcPr>
          <w:p w14:paraId="33C6B44F"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Thẩm định và Quyết định cho vay Tín dụng đầu tư của Nhà nước đối với các dự án.</w:t>
            </w:r>
          </w:p>
        </w:tc>
      </w:tr>
      <w:tr w:rsidR="006652ED" w:rsidRPr="003D5FA9" w14:paraId="4F69F738"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410CFBBB"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18</w:t>
            </w:r>
          </w:p>
        </w:tc>
        <w:tc>
          <w:tcPr>
            <w:tcW w:w="1315" w:type="dxa"/>
            <w:vMerge/>
            <w:tcBorders>
              <w:left w:val="nil"/>
              <w:bottom w:val="single" w:sz="4" w:space="0" w:color="auto"/>
              <w:right w:val="single" w:sz="4" w:space="0" w:color="auto"/>
            </w:tcBorders>
            <w:vAlign w:val="center"/>
            <w:hideMark/>
          </w:tcPr>
          <w:p w14:paraId="2A220974" w14:textId="77777777" w:rsidR="006652ED" w:rsidRPr="003D5FA9" w:rsidRDefault="006652ED" w:rsidP="006652ED">
            <w:pPr>
              <w:spacing w:after="0" w:line="240" w:lineRule="auto"/>
              <w:jc w:val="center"/>
              <w:rPr>
                <w:rFonts w:ascii="Times New Roman" w:eastAsia="Calibri" w:hAnsi="Times New Roman" w:cs="Times New Roman"/>
                <w:color w:val="1F1F1F"/>
                <w:sz w:val="24"/>
                <w:szCs w:val="28"/>
              </w:rPr>
            </w:pPr>
          </w:p>
        </w:tc>
        <w:tc>
          <w:tcPr>
            <w:tcW w:w="2410" w:type="dxa"/>
            <w:tcBorders>
              <w:top w:val="nil"/>
              <w:left w:val="nil"/>
              <w:bottom w:val="single" w:sz="4" w:space="0" w:color="auto"/>
              <w:right w:val="single" w:sz="4" w:space="0" w:color="auto"/>
            </w:tcBorders>
            <w:vAlign w:val="center"/>
            <w:hideMark/>
          </w:tcPr>
          <w:p w14:paraId="76D17CC8"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CSDL về  quản lý ngoại hối</w:t>
            </w:r>
          </w:p>
        </w:tc>
        <w:tc>
          <w:tcPr>
            <w:tcW w:w="5811" w:type="dxa"/>
            <w:tcBorders>
              <w:top w:val="nil"/>
              <w:left w:val="nil"/>
              <w:bottom w:val="single" w:sz="4" w:space="0" w:color="auto"/>
              <w:right w:val="single" w:sz="4" w:space="0" w:color="auto"/>
            </w:tcBorders>
            <w:vAlign w:val="center"/>
            <w:hideMark/>
          </w:tcPr>
          <w:p w14:paraId="5DACF619"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Cấp Giấy phép hoạt động ngoại hối cho các tổ chức kinh tế (thanh toán quốc tế, vay nước ngoài).</w:t>
            </w:r>
          </w:p>
        </w:tc>
      </w:tr>
      <w:tr w:rsidR="006652ED" w:rsidRPr="003D5FA9" w14:paraId="15CBE91E" w14:textId="77777777" w:rsidTr="00BE1A88">
        <w:trPr>
          <w:gridAfter w:val="1"/>
          <w:wAfter w:w="7983" w:type="dxa"/>
          <w:trHeight w:val="760"/>
        </w:trPr>
        <w:tc>
          <w:tcPr>
            <w:tcW w:w="670" w:type="dxa"/>
            <w:tcBorders>
              <w:top w:val="nil"/>
              <w:left w:val="single" w:sz="4" w:space="0" w:color="auto"/>
              <w:bottom w:val="single" w:sz="4" w:space="0" w:color="auto"/>
              <w:right w:val="single" w:sz="4" w:space="0" w:color="auto"/>
            </w:tcBorders>
            <w:vAlign w:val="center"/>
            <w:hideMark/>
          </w:tcPr>
          <w:p w14:paraId="2F3E0CE4"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19</w:t>
            </w:r>
          </w:p>
        </w:tc>
        <w:tc>
          <w:tcPr>
            <w:tcW w:w="1315" w:type="dxa"/>
            <w:tcBorders>
              <w:top w:val="nil"/>
              <w:left w:val="nil"/>
              <w:bottom w:val="single" w:sz="4" w:space="0" w:color="auto"/>
              <w:right w:val="single" w:sz="4" w:space="0" w:color="auto"/>
            </w:tcBorders>
            <w:vAlign w:val="center"/>
            <w:hideMark/>
          </w:tcPr>
          <w:p w14:paraId="7A814FBB" w14:textId="77777777" w:rsidR="006652ED" w:rsidRPr="003D5FA9" w:rsidRDefault="006652ED" w:rsidP="006652ED">
            <w:pPr>
              <w:spacing w:after="0" w:line="240" w:lineRule="auto"/>
              <w:jc w:val="center"/>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Bộ Công Thương</w:t>
            </w:r>
          </w:p>
        </w:tc>
        <w:tc>
          <w:tcPr>
            <w:tcW w:w="2410" w:type="dxa"/>
            <w:tcBorders>
              <w:top w:val="nil"/>
              <w:left w:val="nil"/>
              <w:bottom w:val="single" w:sz="4" w:space="0" w:color="auto"/>
              <w:right w:val="single" w:sz="4" w:space="0" w:color="auto"/>
            </w:tcBorders>
            <w:vAlign w:val="center"/>
            <w:hideMark/>
          </w:tcPr>
          <w:p w14:paraId="4DDCAF05"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CSDL về cấp phép và quản lý Xuất nhập khẩu</w:t>
            </w:r>
          </w:p>
        </w:tc>
        <w:tc>
          <w:tcPr>
            <w:tcW w:w="5811" w:type="dxa"/>
            <w:tcBorders>
              <w:top w:val="nil"/>
              <w:left w:val="nil"/>
              <w:bottom w:val="single" w:sz="4" w:space="0" w:color="auto"/>
              <w:right w:val="single" w:sz="4" w:space="0" w:color="auto"/>
            </w:tcBorders>
            <w:vAlign w:val="center"/>
            <w:hideMark/>
          </w:tcPr>
          <w:p w14:paraId="263336D9"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Cấp GCN xuất xứ hàng hóa (C/O), Cấp Giấy phép nhập khẩu tự động một số mặt hàng (liên quan đến hạn ngạch, điều kiện).</w:t>
            </w:r>
          </w:p>
        </w:tc>
      </w:tr>
      <w:tr w:rsidR="006652ED" w:rsidRPr="003D5FA9" w14:paraId="716BD987" w14:textId="77777777" w:rsidTr="00BE1A88">
        <w:trPr>
          <w:gridAfter w:val="1"/>
          <w:wAfter w:w="7983" w:type="dxa"/>
          <w:trHeight w:val="561"/>
        </w:trPr>
        <w:tc>
          <w:tcPr>
            <w:tcW w:w="670" w:type="dxa"/>
            <w:tcBorders>
              <w:top w:val="nil"/>
              <w:left w:val="single" w:sz="4" w:space="0" w:color="auto"/>
              <w:bottom w:val="single" w:sz="4" w:space="0" w:color="auto"/>
              <w:right w:val="single" w:sz="4" w:space="0" w:color="auto"/>
            </w:tcBorders>
            <w:vAlign w:val="center"/>
            <w:hideMark/>
          </w:tcPr>
          <w:p w14:paraId="4ABAE5E9"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20</w:t>
            </w:r>
          </w:p>
        </w:tc>
        <w:tc>
          <w:tcPr>
            <w:tcW w:w="1315" w:type="dxa"/>
            <w:vMerge w:val="restart"/>
            <w:tcBorders>
              <w:top w:val="nil"/>
              <w:left w:val="nil"/>
              <w:right w:val="single" w:sz="4" w:space="0" w:color="auto"/>
            </w:tcBorders>
            <w:vAlign w:val="center"/>
            <w:hideMark/>
          </w:tcPr>
          <w:p w14:paraId="7F12F674"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lang w:val="vi-VN"/>
              </w:rPr>
            </w:pPr>
            <w:r w:rsidRPr="003D5FA9">
              <w:rPr>
                <w:rFonts w:ascii="Times New Roman" w:eastAsia="Calibri" w:hAnsi="Times New Roman" w:cs="Times New Roman"/>
                <w:color w:val="000000"/>
                <w:sz w:val="24"/>
                <w:szCs w:val="28"/>
                <w:lang w:val="vi-VN"/>
              </w:rPr>
              <w:t>Bộ Khoa học và Công nghệ</w:t>
            </w:r>
          </w:p>
        </w:tc>
        <w:tc>
          <w:tcPr>
            <w:tcW w:w="2410" w:type="dxa"/>
            <w:tcBorders>
              <w:top w:val="nil"/>
              <w:left w:val="nil"/>
              <w:bottom w:val="single" w:sz="4" w:space="0" w:color="auto"/>
              <w:right w:val="single" w:sz="4" w:space="0" w:color="auto"/>
            </w:tcBorders>
            <w:vAlign w:val="center"/>
            <w:hideMark/>
          </w:tcPr>
          <w:p w14:paraId="1585C60A" w14:textId="77777777" w:rsidR="006652ED" w:rsidRPr="003D5FA9" w:rsidRDefault="006652ED" w:rsidP="006652ED">
            <w:pPr>
              <w:spacing w:after="0" w:line="240" w:lineRule="auto"/>
              <w:rPr>
                <w:rFonts w:ascii="Times New Roman" w:eastAsia="Calibri" w:hAnsi="Times New Roman" w:cs="Times New Roman"/>
                <w:color w:val="000000"/>
                <w:sz w:val="24"/>
                <w:szCs w:val="28"/>
                <w:lang w:val="vi-VN"/>
              </w:rPr>
            </w:pPr>
            <w:r w:rsidRPr="003D5FA9">
              <w:rPr>
                <w:rFonts w:ascii="Times New Roman" w:eastAsia="Calibri" w:hAnsi="Times New Roman" w:cs="Times New Roman"/>
                <w:color w:val="000000"/>
                <w:sz w:val="24"/>
                <w:szCs w:val="28"/>
                <w:lang w:val="vi-VN"/>
              </w:rPr>
              <w:t>CSDL Đăng bạ điện tử.</w:t>
            </w:r>
          </w:p>
        </w:tc>
        <w:tc>
          <w:tcPr>
            <w:tcW w:w="5811" w:type="dxa"/>
            <w:tcBorders>
              <w:top w:val="nil"/>
              <w:left w:val="nil"/>
              <w:bottom w:val="single" w:sz="4" w:space="0" w:color="auto"/>
              <w:right w:val="single" w:sz="4" w:space="0" w:color="auto"/>
            </w:tcBorders>
            <w:vAlign w:val="center"/>
            <w:hideMark/>
          </w:tcPr>
          <w:p w14:paraId="480B37E3" w14:textId="77777777" w:rsidR="006652ED" w:rsidRPr="003D5FA9" w:rsidRDefault="006652ED" w:rsidP="006652ED">
            <w:pPr>
              <w:spacing w:after="0" w:line="240" w:lineRule="auto"/>
              <w:rPr>
                <w:rFonts w:ascii="Times New Roman" w:eastAsia="Calibri" w:hAnsi="Times New Roman" w:cs="Times New Roman"/>
                <w:color w:val="000000"/>
                <w:sz w:val="24"/>
                <w:szCs w:val="28"/>
                <w:lang w:val="vi-VN"/>
              </w:rPr>
            </w:pPr>
            <w:r w:rsidRPr="003D5FA9">
              <w:rPr>
                <w:rFonts w:ascii="Times New Roman" w:eastAsia="Calibri" w:hAnsi="Times New Roman" w:cs="Times New Roman"/>
                <w:color w:val="000000"/>
                <w:sz w:val="24"/>
                <w:szCs w:val="28"/>
                <w:lang w:val="vi-VN"/>
              </w:rPr>
              <w:t>Vằng bằng sở hữu công nghiệp (sáng chế, giải pháp hữu ích, kiểu dáng công nghiệp, nhãn hiệu, chỉ dẫn địa lý)</w:t>
            </w:r>
          </w:p>
        </w:tc>
      </w:tr>
      <w:tr w:rsidR="006652ED" w:rsidRPr="003D5FA9" w14:paraId="6F4C8323" w14:textId="77777777" w:rsidTr="00BE1A88">
        <w:trPr>
          <w:gridAfter w:val="1"/>
          <w:wAfter w:w="7983" w:type="dxa"/>
          <w:trHeight w:val="659"/>
        </w:trPr>
        <w:tc>
          <w:tcPr>
            <w:tcW w:w="670" w:type="dxa"/>
            <w:tcBorders>
              <w:top w:val="nil"/>
              <w:left w:val="single" w:sz="4" w:space="0" w:color="auto"/>
              <w:bottom w:val="single" w:sz="4" w:space="0" w:color="auto"/>
              <w:right w:val="single" w:sz="4" w:space="0" w:color="auto"/>
            </w:tcBorders>
            <w:vAlign w:val="center"/>
            <w:hideMark/>
          </w:tcPr>
          <w:p w14:paraId="5184F69E"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21</w:t>
            </w:r>
          </w:p>
        </w:tc>
        <w:tc>
          <w:tcPr>
            <w:tcW w:w="1315" w:type="dxa"/>
            <w:vMerge/>
            <w:tcBorders>
              <w:left w:val="nil"/>
              <w:bottom w:val="single" w:sz="4" w:space="0" w:color="auto"/>
              <w:right w:val="single" w:sz="4" w:space="0" w:color="auto"/>
            </w:tcBorders>
            <w:vAlign w:val="center"/>
            <w:hideMark/>
          </w:tcPr>
          <w:p w14:paraId="74F5FEDC"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1C3F3A9B"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CSDL về Tần số Vô tuyến điện</w:t>
            </w:r>
          </w:p>
        </w:tc>
        <w:tc>
          <w:tcPr>
            <w:tcW w:w="5811" w:type="dxa"/>
            <w:tcBorders>
              <w:top w:val="nil"/>
              <w:left w:val="nil"/>
              <w:bottom w:val="single" w:sz="4" w:space="0" w:color="auto"/>
              <w:right w:val="single" w:sz="4" w:space="0" w:color="auto"/>
            </w:tcBorders>
            <w:vAlign w:val="center"/>
            <w:hideMark/>
          </w:tcPr>
          <w:p w14:paraId="40B80960"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Cấp Giấy phép sử dụng tần số và thiết bị phát sóng vô tuyến điện (cho đài phát thanh, truyền hình, mạng di động).</w:t>
            </w:r>
          </w:p>
        </w:tc>
      </w:tr>
      <w:tr w:rsidR="006652ED" w:rsidRPr="003D5FA9" w14:paraId="1AB7B6DA" w14:textId="77777777" w:rsidTr="00BE1A88">
        <w:trPr>
          <w:gridAfter w:val="1"/>
          <w:wAfter w:w="7983" w:type="dxa"/>
          <w:trHeight w:val="482"/>
        </w:trPr>
        <w:tc>
          <w:tcPr>
            <w:tcW w:w="670" w:type="dxa"/>
            <w:tcBorders>
              <w:top w:val="nil"/>
              <w:left w:val="single" w:sz="4" w:space="0" w:color="auto"/>
              <w:bottom w:val="single" w:sz="4" w:space="0" w:color="auto"/>
              <w:right w:val="single" w:sz="4" w:space="0" w:color="auto"/>
            </w:tcBorders>
            <w:vAlign w:val="center"/>
            <w:hideMark/>
          </w:tcPr>
          <w:p w14:paraId="654FB8B1"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22</w:t>
            </w:r>
          </w:p>
        </w:tc>
        <w:tc>
          <w:tcPr>
            <w:tcW w:w="1315" w:type="dxa"/>
            <w:vMerge w:val="restart"/>
            <w:tcBorders>
              <w:top w:val="nil"/>
              <w:left w:val="nil"/>
              <w:right w:val="single" w:sz="4" w:space="0" w:color="auto"/>
            </w:tcBorders>
            <w:vAlign w:val="center"/>
            <w:hideMark/>
          </w:tcPr>
          <w:p w14:paraId="3E6D5C8E" w14:textId="77777777" w:rsidR="006652ED" w:rsidRPr="003D5FA9" w:rsidRDefault="006652ED" w:rsidP="006652ED">
            <w:pPr>
              <w:spacing w:after="0" w:line="240" w:lineRule="auto"/>
              <w:jc w:val="center"/>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Bộ Nội Vụ</w:t>
            </w:r>
          </w:p>
        </w:tc>
        <w:tc>
          <w:tcPr>
            <w:tcW w:w="2410" w:type="dxa"/>
            <w:tcBorders>
              <w:top w:val="nil"/>
              <w:left w:val="nil"/>
              <w:bottom w:val="single" w:sz="4" w:space="0" w:color="auto"/>
              <w:right w:val="single" w:sz="4" w:space="0" w:color="auto"/>
            </w:tcBorders>
            <w:vAlign w:val="center"/>
            <w:hideMark/>
          </w:tcPr>
          <w:p w14:paraId="04848FE7"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CSDL doanh nghiệp hoạt động dịch vụ việc làm</w:t>
            </w:r>
          </w:p>
        </w:tc>
        <w:tc>
          <w:tcPr>
            <w:tcW w:w="5811" w:type="dxa"/>
            <w:tcBorders>
              <w:top w:val="nil"/>
              <w:left w:val="nil"/>
              <w:bottom w:val="single" w:sz="4" w:space="0" w:color="auto"/>
              <w:right w:val="single" w:sz="4" w:space="0" w:color="auto"/>
            </w:tcBorders>
            <w:vAlign w:val="center"/>
            <w:hideMark/>
          </w:tcPr>
          <w:p w14:paraId="6C913C00" w14:textId="77777777" w:rsidR="006652ED" w:rsidRPr="003D5FA9" w:rsidRDefault="006652ED" w:rsidP="006652ED">
            <w:pPr>
              <w:spacing w:after="0" w:line="240" w:lineRule="auto"/>
              <w:rPr>
                <w:rFonts w:ascii="Times New Roman" w:eastAsia="Calibri" w:hAnsi="Times New Roman" w:cs="Times New Roman"/>
                <w:color w:val="1F1F1F"/>
                <w:sz w:val="24"/>
                <w:szCs w:val="28"/>
              </w:rPr>
            </w:pPr>
            <w:r w:rsidRPr="003D5FA9">
              <w:rPr>
                <w:rFonts w:ascii="Times New Roman" w:eastAsia="Calibri" w:hAnsi="Times New Roman" w:cs="Times New Roman"/>
                <w:color w:val="1F1F1F"/>
                <w:sz w:val="24"/>
                <w:szCs w:val="28"/>
              </w:rPr>
              <w:t>Cấp Giấy phép hoạt động dịch vụ việc làm; Kiểm tra việc tuân thủ các quy định về kinh doanh dịch vụ việc làm.</w:t>
            </w:r>
          </w:p>
        </w:tc>
      </w:tr>
      <w:tr w:rsidR="006652ED" w:rsidRPr="003D5FA9" w14:paraId="063B638D" w14:textId="77777777" w:rsidTr="00BE1A88">
        <w:trPr>
          <w:gridAfter w:val="1"/>
          <w:wAfter w:w="7983" w:type="dxa"/>
          <w:trHeight w:val="617"/>
        </w:trPr>
        <w:tc>
          <w:tcPr>
            <w:tcW w:w="670" w:type="dxa"/>
            <w:tcBorders>
              <w:top w:val="nil"/>
              <w:left w:val="single" w:sz="4" w:space="0" w:color="auto"/>
              <w:bottom w:val="single" w:sz="4" w:space="0" w:color="auto"/>
              <w:right w:val="single" w:sz="4" w:space="0" w:color="auto"/>
            </w:tcBorders>
            <w:vAlign w:val="center"/>
            <w:hideMark/>
          </w:tcPr>
          <w:p w14:paraId="14EE7D93"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23</w:t>
            </w:r>
          </w:p>
        </w:tc>
        <w:tc>
          <w:tcPr>
            <w:tcW w:w="1315" w:type="dxa"/>
            <w:vMerge/>
            <w:tcBorders>
              <w:left w:val="nil"/>
              <w:bottom w:val="single" w:sz="4" w:space="0" w:color="auto"/>
              <w:right w:val="single" w:sz="4" w:space="0" w:color="auto"/>
            </w:tcBorders>
            <w:vAlign w:val="center"/>
            <w:hideMark/>
          </w:tcPr>
          <w:p w14:paraId="1C54229B"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62C0629B"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chuyên gia khoa học làm việc tại VN</w:t>
            </w:r>
          </w:p>
        </w:tc>
        <w:tc>
          <w:tcPr>
            <w:tcW w:w="5811" w:type="dxa"/>
            <w:tcBorders>
              <w:top w:val="nil"/>
              <w:left w:val="nil"/>
              <w:bottom w:val="single" w:sz="4" w:space="0" w:color="auto"/>
              <w:right w:val="single" w:sz="4" w:space="0" w:color="auto"/>
            </w:tcBorders>
            <w:vAlign w:val="center"/>
            <w:hideMark/>
          </w:tcPr>
          <w:p w14:paraId="0993CD65"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Giấy phép lao động cho chuyên gia kỹ thuật, khoa học người nước ngoài (phối hợp với Bộ LĐTB&amp;XH).</w:t>
            </w:r>
          </w:p>
        </w:tc>
      </w:tr>
      <w:tr w:rsidR="006652ED" w:rsidRPr="003D5FA9" w14:paraId="5748EA5D" w14:textId="77777777" w:rsidTr="00BE1A88">
        <w:trPr>
          <w:gridAfter w:val="1"/>
          <w:wAfter w:w="7983" w:type="dxa"/>
          <w:trHeight w:val="827"/>
        </w:trPr>
        <w:tc>
          <w:tcPr>
            <w:tcW w:w="670" w:type="dxa"/>
            <w:tcBorders>
              <w:top w:val="nil"/>
              <w:left w:val="single" w:sz="4" w:space="0" w:color="auto"/>
              <w:bottom w:val="single" w:sz="4" w:space="0" w:color="auto"/>
              <w:right w:val="single" w:sz="4" w:space="0" w:color="auto"/>
            </w:tcBorders>
            <w:vAlign w:val="center"/>
            <w:hideMark/>
          </w:tcPr>
          <w:p w14:paraId="2F66D31E"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24</w:t>
            </w:r>
          </w:p>
        </w:tc>
        <w:tc>
          <w:tcPr>
            <w:tcW w:w="1315" w:type="dxa"/>
            <w:tcBorders>
              <w:top w:val="nil"/>
              <w:left w:val="nil"/>
              <w:bottom w:val="single" w:sz="4" w:space="0" w:color="auto"/>
              <w:right w:val="single" w:sz="4" w:space="0" w:color="auto"/>
            </w:tcBorders>
            <w:vAlign w:val="center"/>
            <w:hideMark/>
          </w:tcPr>
          <w:p w14:paraId="16BDF6E6" w14:textId="77777777" w:rsidR="006652ED" w:rsidRPr="003D5FA9" w:rsidRDefault="006652ED" w:rsidP="006652ED">
            <w:pPr>
              <w:spacing w:after="0" w:line="240" w:lineRule="auto"/>
              <w:jc w:val="center"/>
              <w:rPr>
                <w:rFonts w:ascii="Times New Roman" w:eastAsia="Calibri" w:hAnsi="Times New Roman" w:cs="Times New Roman"/>
                <w:color w:val="1F1F1F"/>
                <w:sz w:val="24"/>
                <w:szCs w:val="28"/>
                <w:lang w:val="vi-VN"/>
              </w:rPr>
            </w:pPr>
            <w:r w:rsidRPr="003D5FA9">
              <w:rPr>
                <w:rFonts w:ascii="Times New Roman" w:eastAsia="Calibri" w:hAnsi="Times New Roman" w:cs="Times New Roman"/>
                <w:color w:val="1F1F1F"/>
                <w:sz w:val="24"/>
                <w:szCs w:val="28"/>
                <w:lang w:val="vi-VN"/>
              </w:rPr>
              <w:t>Bộ Giáo dục &amp; Đào tạo</w:t>
            </w:r>
          </w:p>
        </w:tc>
        <w:tc>
          <w:tcPr>
            <w:tcW w:w="2410" w:type="dxa"/>
            <w:tcBorders>
              <w:top w:val="nil"/>
              <w:left w:val="nil"/>
              <w:bottom w:val="single" w:sz="4" w:space="0" w:color="auto"/>
              <w:right w:val="single" w:sz="4" w:space="0" w:color="auto"/>
            </w:tcBorders>
            <w:vAlign w:val="center"/>
            <w:hideMark/>
          </w:tcPr>
          <w:p w14:paraId="10B59698" w14:textId="77777777" w:rsidR="006652ED" w:rsidRPr="003D5FA9" w:rsidRDefault="006652ED" w:rsidP="006652ED">
            <w:pPr>
              <w:spacing w:after="0" w:line="240" w:lineRule="auto"/>
              <w:rPr>
                <w:rFonts w:ascii="Times New Roman" w:eastAsia="Calibri" w:hAnsi="Times New Roman" w:cs="Times New Roman"/>
                <w:color w:val="1F1F1F"/>
                <w:sz w:val="24"/>
                <w:szCs w:val="28"/>
                <w:lang w:val="vi-VN"/>
              </w:rPr>
            </w:pPr>
            <w:r w:rsidRPr="003D5FA9">
              <w:rPr>
                <w:rFonts w:ascii="Times New Roman" w:eastAsia="Calibri" w:hAnsi="Times New Roman" w:cs="Times New Roman"/>
                <w:color w:val="1F1F1F"/>
                <w:sz w:val="24"/>
                <w:szCs w:val="28"/>
                <w:lang w:val="vi-VN"/>
              </w:rPr>
              <w:t>CSDL văn bằng chứng chỉ đào tạo tại nước ngoài</w:t>
            </w:r>
          </w:p>
        </w:tc>
        <w:tc>
          <w:tcPr>
            <w:tcW w:w="5811" w:type="dxa"/>
            <w:tcBorders>
              <w:top w:val="nil"/>
              <w:left w:val="nil"/>
              <w:bottom w:val="single" w:sz="4" w:space="0" w:color="auto"/>
              <w:right w:val="single" w:sz="4" w:space="0" w:color="auto"/>
            </w:tcBorders>
            <w:vAlign w:val="center"/>
            <w:hideMark/>
          </w:tcPr>
          <w:p w14:paraId="215F122C" w14:textId="77777777" w:rsidR="006652ED" w:rsidRPr="003D5FA9" w:rsidRDefault="006652ED" w:rsidP="006652ED">
            <w:pPr>
              <w:spacing w:after="0" w:line="240" w:lineRule="auto"/>
              <w:rPr>
                <w:rFonts w:ascii="Times New Roman" w:eastAsia="Calibri" w:hAnsi="Times New Roman" w:cs="Times New Roman"/>
                <w:color w:val="1F1F1F"/>
                <w:sz w:val="24"/>
                <w:szCs w:val="28"/>
                <w:lang w:val="vi-VN"/>
              </w:rPr>
            </w:pPr>
            <w:r w:rsidRPr="003D5FA9">
              <w:rPr>
                <w:rFonts w:ascii="Times New Roman" w:eastAsia="Calibri" w:hAnsi="Times New Roman" w:cs="Times New Roman"/>
                <w:color w:val="1F1F1F"/>
                <w:sz w:val="24"/>
                <w:szCs w:val="28"/>
                <w:lang w:val="vi-VN"/>
              </w:rPr>
              <w:t>Công nhận bằng cử nhân, bằng thạc sĩ, bằng tiến sĩ và văn bằng trình độ tương đương do cơ sở giáo dục nước ngoài cấp để sử dụng tại Việt Nam.</w:t>
            </w:r>
          </w:p>
        </w:tc>
      </w:tr>
      <w:tr w:rsidR="006652ED" w:rsidRPr="003D5FA9" w14:paraId="1C332626"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2353DD76"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25</w:t>
            </w:r>
          </w:p>
        </w:tc>
        <w:tc>
          <w:tcPr>
            <w:tcW w:w="1315" w:type="dxa"/>
            <w:tcBorders>
              <w:top w:val="nil"/>
              <w:left w:val="nil"/>
              <w:bottom w:val="single" w:sz="4" w:space="0" w:color="auto"/>
              <w:right w:val="single" w:sz="4" w:space="0" w:color="auto"/>
            </w:tcBorders>
            <w:vAlign w:val="center"/>
            <w:hideMark/>
          </w:tcPr>
          <w:p w14:paraId="6363AC04"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Bộ Ngoại giao</w:t>
            </w:r>
          </w:p>
        </w:tc>
        <w:tc>
          <w:tcPr>
            <w:tcW w:w="2410" w:type="dxa"/>
            <w:tcBorders>
              <w:top w:val="nil"/>
              <w:left w:val="nil"/>
              <w:bottom w:val="single" w:sz="4" w:space="0" w:color="auto"/>
              <w:right w:val="single" w:sz="4" w:space="0" w:color="auto"/>
            </w:tcBorders>
            <w:vAlign w:val="center"/>
            <w:hideMark/>
          </w:tcPr>
          <w:p w14:paraId="01CAFF7B"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Quản lý báo chí, phóng viên nước ngoài</w:t>
            </w:r>
          </w:p>
        </w:tc>
        <w:tc>
          <w:tcPr>
            <w:tcW w:w="5811" w:type="dxa"/>
            <w:tcBorders>
              <w:top w:val="nil"/>
              <w:left w:val="nil"/>
              <w:bottom w:val="single" w:sz="4" w:space="0" w:color="auto"/>
              <w:right w:val="single" w:sz="4" w:space="0" w:color="auto"/>
            </w:tcBorders>
            <w:vAlign w:val="center"/>
            <w:hideMark/>
          </w:tcPr>
          <w:p w14:paraId="63B7C5FB"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Cấp/Gia hạn Thẻ phóng viên nước ngoài; Cho phép phóng viên nước ngoài hoạt động tại địa phương.</w:t>
            </w:r>
          </w:p>
        </w:tc>
      </w:tr>
      <w:tr w:rsidR="006652ED" w:rsidRPr="003D5FA9" w14:paraId="6C99D4E1" w14:textId="77777777" w:rsidTr="00BE1A88">
        <w:trPr>
          <w:gridAfter w:val="1"/>
          <w:wAfter w:w="7983" w:type="dxa"/>
          <w:trHeight w:val="760"/>
        </w:trPr>
        <w:tc>
          <w:tcPr>
            <w:tcW w:w="670" w:type="dxa"/>
            <w:tcBorders>
              <w:top w:val="nil"/>
              <w:left w:val="single" w:sz="4" w:space="0" w:color="auto"/>
              <w:bottom w:val="single" w:sz="4" w:space="0" w:color="auto"/>
              <w:right w:val="single" w:sz="4" w:space="0" w:color="auto"/>
            </w:tcBorders>
            <w:vAlign w:val="center"/>
            <w:hideMark/>
          </w:tcPr>
          <w:p w14:paraId="714B42DD"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26</w:t>
            </w:r>
          </w:p>
        </w:tc>
        <w:tc>
          <w:tcPr>
            <w:tcW w:w="1315" w:type="dxa"/>
            <w:vMerge w:val="restart"/>
            <w:tcBorders>
              <w:top w:val="nil"/>
              <w:left w:val="nil"/>
              <w:right w:val="single" w:sz="4" w:space="0" w:color="auto"/>
            </w:tcBorders>
            <w:vAlign w:val="center"/>
            <w:hideMark/>
          </w:tcPr>
          <w:p w14:paraId="6F5107ED"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Bộ Công Thương</w:t>
            </w:r>
          </w:p>
        </w:tc>
        <w:tc>
          <w:tcPr>
            <w:tcW w:w="2410" w:type="dxa"/>
            <w:tcBorders>
              <w:top w:val="nil"/>
              <w:left w:val="nil"/>
              <w:bottom w:val="single" w:sz="4" w:space="0" w:color="auto"/>
              <w:right w:val="single" w:sz="4" w:space="0" w:color="auto"/>
            </w:tcBorders>
            <w:vAlign w:val="center"/>
            <w:hideMark/>
          </w:tcPr>
          <w:p w14:paraId="12AA01D1"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giấy phép kinh doanh rượu bia</w:t>
            </w:r>
          </w:p>
        </w:tc>
        <w:tc>
          <w:tcPr>
            <w:tcW w:w="5811" w:type="dxa"/>
            <w:tcBorders>
              <w:top w:val="nil"/>
              <w:left w:val="nil"/>
              <w:bottom w:val="single" w:sz="4" w:space="0" w:color="auto"/>
              <w:right w:val="single" w:sz="4" w:space="0" w:color="auto"/>
            </w:tcBorders>
            <w:vAlign w:val="center"/>
            <w:hideMark/>
          </w:tcPr>
          <w:p w14:paraId="1F146600"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Giấy phép kinh doanh bán buôn/bán lẻ sản phẩm rượu, bia (liên quan đến điều kiện kho bãi, địa điểm).</w:t>
            </w:r>
          </w:p>
        </w:tc>
      </w:tr>
      <w:tr w:rsidR="006652ED" w:rsidRPr="003D5FA9" w14:paraId="0F77ABED"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6488B57F"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t>27</w:t>
            </w:r>
          </w:p>
        </w:tc>
        <w:tc>
          <w:tcPr>
            <w:tcW w:w="1315" w:type="dxa"/>
            <w:vMerge/>
            <w:tcBorders>
              <w:left w:val="nil"/>
              <w:right w:val="single" w:sz="4" w:space="0" w:color="auto"/>
            </w:tcBorders>
            <w:vAlign w:val="center"/>
            <w:hideMark/>
          </w:tcPr>
          <w:p w14:paraId="6BA7A96B"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1A1B575F"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giấy phép kinh doanh Khí hóa lỏng</w:t>
            </w:r>
          </w:p>
        </w:tc>
        <w:tc>
          <w:tcPr>
            <w:tcW w:w="5811" w:type="dxa"/>
            <w:tcBorders>
              <w:top w:val="nil"/>
              <w:left w:val="nil"/>
              <w:bottom w:val="single" w:sz="4" w:space="0" w:color="auto"/>
              <w:right w:val="single" w:sz="4" w:space="0" w:color="auto"/>
            </w:tcBorders>
            <w:vAlign w:val="center"/>
            <w:hideMark/>
          </w:tcPr>
          <w:p w14:paraId="25F3A7C3"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GCN đủ điều kiện kinh doanh khí hóa lỏng (LPG) cho cửa hàng/tổng đại lý.</w:t>
            </w:r>
          </w:p>
        </w:tc>
      </w:tr>
      <w:tr w:rsidR="006652ED" w:rsidRPr="003D5FA9" w14:paraId="321A6644" w14:textId="77777777" w:rsidTr="00BE1A88">
        <w:trPr>
          <w:gridAfter w:val="1"/>
          <w:wAfter w:w="7983" w:type="dxa"/>
          <w:trHeight w:val="380"/>
        </w:trPr>
        <w:tc>
          <w:tcPr>
            <w:tcW w:w="670" w:type="dxa"/>
            <w:tcBorders>
              <w:top w:val="nil"/>
              <w:left w:val="single" w:sz="4" w:space="0" w:color="auto"/>
              <w:bottom w:val="single" w:sz="4" w:space="0" w:color="auto"/>
              <w:right w:val="single" w:sz="4" w:space="0" w:color="auto"/>
            </w:tcBorders>
            <w:vAlign w:val="center"/>
            <w:hideMark/>
          </w:tcPr>
          <w:p w14:paraId="7D0B4C88"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lastRenderedPageBreak/>
              <w:t>28</w:t>
            </w:r>
          </w:p>
        </w:tc>
        <w:tc>
          <w:tcPr>
            <w:tcW w:w="1315" w:type="dxa"/>
            <w:vMerge/>
            <w:tcBorders>
              <w:left w:val="nil"/>
              <w:right w:val="single" w:sz="4" w:space="0" w:color="auto"/>
            </w:tcBorders>
            <w:vAlign w:val="center"/>
            <w:hideMark/>
          </w:tcPr>
          <w:p w14:paraId="3583E868"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20779FF2"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giấy phép kinh doanh thuốc lá</w:t>
            </w:r>
          </w:p>
        </w:tc>
        <w:tc>
          <w:tcPr>
            <w:tcW w:w="5811" w:type="dxa"/>
            <w:tcBorders>
              <w:top w:val="nil"/>
              <w:left w:val="nil"/>
              <w:bottom w:val="single" w:sz="4" w:space="0" w:color="auto"/>
              <w:right w:val="single" w:sz="4" w:space="0" w:color="auto"/>
            </w:tcBorders>
            <w:vAlign w:val="center"/>
            <w:hideMark/>
          </w:tcPr>
          <w:p w14:paraId="283FC94D"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Giấy phép sản xuất/kinh doanh sản phẩm thuốc lá; Quản lý tem thuốc lá.</w:t>
            </w:r>
          </w:p>
        </w:tc>
      </w:tr>
      <w:tr w:rsidR="006652ED" w:rsidRPr="003D5FA9" w14:paraId="1492DAC0" w14:textId="77777777" w:rsidTr="00BE1A88">
        <w:trPr>
          <w:gridAfter w:val="1"/>
          <w:wAfter w:w="7983" w:type="dxa"/>
          <w:trHeight w:val="603"/>
        </w:trPr>
        <w:tc>
          <w:tcPr>
            <w:tcW w:w="670" w:type="dxa"/>
            <w:tcBorders>
              <w:top w:val="nil"/>
              <w:left w:val="single" w:sz="4" w:space="0" w:color="auto"/>
              <w:bottom w:val="single" w:sz="4" w:space="0" w:color="auto"/>
              <w:right w:val="single" w:sz="4" w:space="0" w:color="auto"/>
            </w:tcBorders>
            <w:vAlign w:val="center"/>
            <w:hideMark/>
          </w:tcPr>
          <w:p w14:paraId="39D209A2" w14:textId="77777777" w:rsidR="006652ED" w:rsidRPr="003D5FA9" w:rsidRDefault="006652ED" w:rsidP="006652ED">
            <w:pPr>
              <w:spacing w:after="0" w:line="240" w:lineRule="auto"/>
              <w:jc w:val="center"/>
              <w:rPr>
                <w:rFonts w:ascii="Times New Roman" w:eastAsia="Calibri" w:hAnsi="Times New Roman" w:cs="Times New Roman"/>
                <w:color w:val="1F1F1F"/>
                <w:sz w:val="24"/>
                <w:lang w:val="vi-VN"/>
              </w:rPr>
            </w:pPr>
            <w:r w:rsidRPr="003D5FA9">
              <w:rPr>
                <w:rFonts w:ascii="Times New Roman" w:eastAsia="Calibri" w:hAnsi="Times New Roman" w:cs="Times New Roman"/>
                <w:color w:val="1F1F1F"/>
                <w:sz w:val="24"/>
                <w:lang w:val="vi-VN"/>
              </w:rPr>
              <w:lastRenderedPageBreak/>
              <w:t>29</w:t>
            </w:r>
          </w:p>
        </w:tc>
        <w:tc>
          <w:tcPr>
            <w:tcW w:w="1315" w:type="dxa"/>
            <w:vMerge/>
            <w:tcBorders>
              <w:left w:val="nil"/>
              <w:bottom w:val="single" w:sz="4" w:space="0" w:color="auto"/>
              <w:right w:val="single" w:sz="4" w:space="0" w:color="auto"/>
            </w:tcBorders>
            <w:vAlign w:val="center"/>
            <w:hideMark/>
          </w:tcPr>
          <w:p w14:paraId="49C857E7"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p>
        </w:tc>
        <w:tc>
          <w:tcPr>
            <w:tcW w:w="2410" w:type="dxa"/>
            <w:tcBorders>
              <w:top w:val="nil"/>
              <w:left w:val="nil"/>
              <w:bottom w:val="single" w:sz="4" w:space="0" w:color="auto"/>
              <w:right w:val="single" w:sz="4" w:space="0" w:color="auto"/>
            </w:tcBorders>
            <w:vAlign w:val="center"/>
            <w:hideMark/>
          </w:tcPr>
          <w:p w14:paraId="25E120C5"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Điện lực và năng lượng</w:t>
            </w:r>
          </w:p>
        </w:tc>
        <w:tc>
          <w:tcPr>
            <w:tcW w:w="5811" w:type="dxa"/>
            <w:tcBorders>
              <w:top w:val="nil"/>
              <w:left w:val="nil"/>
              <w:bottom w:val="single" w:sz="4" w:space="0" w:color="auto"/>
              <w:right w:val="single" w:sz="4" w:space="0" w:color="auto"/>
            </w:tcBorders>
            <w:vAlign w:val="center"/>
            <w:hideMark/>
          </w:tcPr>
          <w:p w14:paraId="48B2F5F7"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Cấp Giấy phép hoạt động điện lực (sản xuất, truyền tải, phân phối); Kiểm tra việc tuân thủ quy định về an toàn điện.</w:t>
            </w:r>
          </w:p>
        </w:tc>
      </w:tr>
      <w:tr w:rsidR="006652ED" w:rsidRPr="003D5FA9" w14:paraId="77B91CB3" w14:textId="77777777" w:rsidTr="00BE1A88">
        <w:trPr>
          <w:trHeight w:val="360"/>
        </w:trPr>
        <w:tc>
          <w:tcPr>
            <w:tcW w:w="670" w:type="dxa"/>
            <w:tcBorders>
              <w:top w:val="nil"/>
              <w:left w:val="single" w:sz="4" w:space="0" w:color="auto"/>
              <w:bottom w:val="single" w:sz="4" w:space="0" w:color="auto"/>
              <w:right w:val="single" w:sz="4" w:space="0" w:color="auto"/>
            </w:tcBorders>
            <w:noWrap/>
            <w:vAlign w:val="bottom"/>
            <w:hideMark/>
          </w:tcPr>
          <w:p w14:paraId="60DEBF4E" w14:textId="77777777" w:rsidR="006652ED" w:rsidRPr="003D5FA9" w:rsidRDefault="006652ED" w:rsidP="006652ED">
            <w:pPr>
              <w:spacing w:after="0" w:line="240" w:lineRule="auto"/>
              <w:jc w:val="center"/>
              <w:rPr>
                <w:rFonts w:ascii="Times New Roman" w:eastAsia="Calibri" w:hAnsi="Times New Roman" w:cs="Times New Roman"/>
                <w:color w:val="000000"/>
                <w:sz w:val="24"/>
              </w:rPr>
            </w:pPr>
            <w:r w:rsidRPr="003D5FA9">
              <w:rPr>
                <w:rFonts w:ascii="Times New Roman" w:eastAsia="Calibri" w:hAnsi="Times New Roman" w:cs="Times New Roman"/>
                <w:color w:val="000000"/>
                <w:sz w:val="24"/>
              </w:rPr>
              <w:t>30</w:t>
            </w:r>
          </w:p>
        </w:tc>
        <w:tc>
          <w:tcPr>
            <w:tcW w:w="1315" w:type="dxa"/>
            <w:tcBorders>
              <w:top w:val="nil"/>
              <w:left w:val="nil"/>
              <w:bottom w:val="single" w:sz="4" w:space="0" w:color="auto"/>
              <w:right w:val="single" w:sz="4" w:space="0" w:color="auto"/>
            </w:tcBorders>
            <w:noWrap/>
            <w:vAlign w:val="bottom"/>
            <w:hideMark/>
          </w:tcPr>
          <w:p w14:paraId="5C5DFF15" w14:textId="77777777" w:rsidR="006652ED" w:rsidRPr="003D5FA9" w:rsidRDefault="006652ED" w:rsidP="006652ED">
            <w:pPr>
              <w:spacing w:after="0" w:line="240" w:lineRule="auto"/>
              <w:jc w:val="center"/>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Thanh tra Chính phủ</w:t>
            </w:r>
          </w:p>
        </w:tc>
        <w:tc>
          <w:tcPr>
            <w:tcW w:w="2410" w:type="dxa"/>
            <w:tcBorders>
              <w:top w:val="nil"/>
              <w:left w:val="nil"/>
              <w:bottom w:val="single" w:sz="4" w:space="0" w:color="auto"/>
              <w:right w:val="single" w:sz="4" w:space="0" w:color="auto"/>
            </w:tcBorders>
            <w:noWrap/>
            <w:vAlign w:val="bottom"/>
            <w:hideMark/>
          </w:tcPr>
          <w:p w14:paraId="1D0FAA1D"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CSDL Quốc gia về Khiếu nại và Tố cáo</w:t>
            </w:r>
          </w:p>
        </w:tc>
        <w:tc>
          <w:tcPr>
            <w:tcW w:w="5811" w:type="dxa"/>
            <w:tcBorders>
              <w:top w:val="nil"/>
              <w:left w:val="nil"/>
              <w:bottom w:val="single" w:sz="4" w:space="0" w:color="auto"/>
              <w:right w:val="single" w:sz="4" w:space="0" w:color="auto"/>
            </w:tcBorders>
            <w:noWrap/>
            <w:vAlign w:val="center"/>
            <w:hideMark/>
          </w:tcPr>
          <w:p w14:paraId="7CFDDA12" w14:textId="77777777" w:rsidR="006652ED" w:rsidRPr="003D5FA9" w:rsidRDefault="006652ED" w:rsidP="006652ED">
            <w:pPr>
              <w:spacing w:after="0" w:line="240" w:lineRule="auto"/>
              <w:rPr>
                <w:rFonts w:ascii="Times New Roman" w:eastAsia="Calibri" w:hAnsi="Times New Roman" w:cs="Times New Roman"/>
                <w:color w:val="000000"/>
                <w:sz w:val="24"/>
                <w:szCs w:val="28"/>
              </w:rPr>
            </w:pPr>
            <w:r w:rsidRPr="003D5FA9">
              <w:rPr>
                <w:rFonts w:ascii="Times New Roman" w:eastAsia="Calibri" w:hAnsi="Times New Roman" w:cs="Times New Roman"/>
                <w:color w:val="000000"/>
                <w:sz w:val="24"/>
                <w:szCs w:val="28"/>
              </w:rPr>
              <w:t>Quản lý hồ sơ khiếu nại, tố cáo và kết quả giải quyết</w:t>
            </w:r>
          </w:p>
        </w:tc>
        <w:tc>
          <w:tcPr>
            <w:tcW w:w="7983" w:type="dxa"/>
            <w:vAlign w:val="center"/>
            <w:hideMark/>
          </w:tcPr>
          <w:p w14:paraId="31A3E5F1" w14:textId="77777777" w:rsidR="006652ED" w:rsidRPr="003D5FA9" w:rsidRDefault="006652ED" w:rsidP="006652ED">
            <w:pPr>
              <w:spacing w:after="0" w:line="240" w:lineRule="auto"/>
              <w:rPr>
                <w:rFonts w:ascii="Times New Roman" w:eastAsia="Calibri" w:hAnsi="Times New Roman" w:cs="Times New Roman"/>
                <w:sz w:val="24"/>
              </w:rPr>
            </w:pPr>
          </w:p>
        </w:tc>
      </w:tr>
      <w:bookmarkEnd w:id="1"/>
    </w:tbl>
    <w:p w14:paraId="138EEA2E" w14:textId="77777777" w:rsidR="006652ED" w:rsidRPr="003D5FA9" w:rsidRDefault="006652ED" w:rsidP="006652ED">
      <w:pPr>
        <w:tabs>
          <w:tab w:val="left" w:pos="2500"/>
        </w:tabs>
        <w:spacing w:before="120" w:after="120" w:line="340" w:lineRule="exact"/>
        <w:jc w:val="both"/>
        <w:rPr>
          <w:rFonts w:ascii="Times New Roman" w:eastAsia="Times New Roman" w:hAnsi="Times New Roman" w:cs="Times New Roman"/>
          <w:bCs/>
          <w:color w:val="000000" w:themeColor="text1"/>
          <w:spacing w:val="-4"/>
          <w:sz w:val="28"/>
          <w:szCs w:val="28"/>
          <w:lang w:val="en"/>
        </w:rPr>
      </w:pPr>
    </w:p>
    <w:p w14:paraId="196AABC8" w14:textId="3E11971E" w:rsidR="0086477C" w:rsidRPr="003D5FA9" w:rsidRDefault="008E74CD" w:rsidP="0086477C">
      <w:pPr>
        <w:spacing w:before="120" w:after="120"/>
        <w:ind w:firstLine="720"/>
        <w:jc w:val="both"/>
        <w:rPr>
          <w:rFonts w:ascii="Times New Roman" w:hAnsi="Times New Roman" w:cs="Times New Roman"/>
          <w:spacing w:val="-6"/>
          <w:sz w:val="28"/>
          <w:szCs w:val="28"/>
          <w:lang w:val="vi-VN"/>
        </w:rPr>
      </w:pPr>
      <w:r w:rsidRPr="003D5FA9">
        <w:rPr>
          <w:rFonts w:ascii="Times New Roman" w:hAnsi="Times New Roman" w:cs="Times New Roman"/>
          <w:spacing w:val="-6"/>
          <w:sz w:val="28"/>
          <w:szCs w:val="28"/>
        </w:rPr>
        <w:t xml:space="preserve">- </w:t>
      </w:r>
      <w:r w:rsidRPr="003D5FA9">
        <w:rPr>
          <w:rFonts w:ascii="Times New Roman" w:hAnsi="Times New Roman" w:cs="Times New Roman"/>
          <w:b/>
          <w:bCs/>
          <w:i/>
          <w:iCs/>
          <w:spacing w:val="-6"/>
          <w:sz w:val="28"/>
          <w:szCs w:val="28"/>
        </w:rPr>
        <w:t>Tình hình xử lý hồ sơ công việc trên môi trường điện tử; sử dụng chữ ký số</w:t>
      </w:r>
      <w:r w:rsidR="00E65BFF" w:rsidRPr="003D5FA9">
        <w:rPr>
          <w:rFonts w:ascii="Times New Roman" w:hAnsi="Times New Roman" w:cs="Times New Roman"/>
          <w:spacing w:val="-6"/>
          <w:sz w:val="28"/>
          <w:szCs w:val="28"/>
          <w:lang w:val="vi-VN"/>
        </w:rPr>
        <w:t>:</w:t>
      </w:r>
    </w:p>
    <w:p w14:paraId="0478769A" w14:textId="08CB39DC" w:rsidR="008E74CD" w:rsidRPr="003D5FA9" w:rsidRDefault="0086477C" w:rsidP="0086477C">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 xml:space="preserve">Đối với văn bản thường: Tính đến hết năm 2025, </w:t>
      </w:r>
      <w:r w:rsidRPr="003D5FA9">
        <w:rPr>
          <w:rFonts w:ascii="Times New Roman" w:hAnsi="Times New Roman" w:cs="Times New Roman"/>
          <w:b/>
          <w:bCs/>
          <w:sz w:val="28"/>
          <w:szCs w:val="28"/>
          <w:lang w:val="vi-VN"/>
        </w:rPr>
        <w:t>100%</w:t>
      </w:r>
      <w:r w:rsidRPr="003D5FA9">
        <w:rPr>
          <w:rFonts w:ascii="Times New Roman" w:hAnsi="Times New Roman" w:cs="Times New Roman"/>
          <w:sz w:val="28"/>
          <w:szCs w:val="28"/>
          <w:lang w:val="vi-VN"/>
        </w:rPr>
        <w:t xml:space="preserve"> các Bộ, cơ quan ngang Bộ và địa phương đã kết nối, liên thông gửi, nhận văn bản điện tử qua Trục liên thông văn bản quốc gia. Việc sử dụng chữ ký số đã đi vào thực chất, tỷ lệ văn bản trao đổi giữa các cơ quan nhà nước dưới dạng điện tử đạt </w:t>
      </w:r>
      <w:r w:rsidRPr="003D5FA9">
        <w:rPr>
          <w:rFonts w:ascii="Times New Roman" w:hAnsi="Times New Roman" w:cs="Times New Roman"/>
          <w:b/>
          <w:bCs/>
          <w:sz w:val="28"/>
          <w:szCs w:val="28"/>
          <w:lang w:val="vi-VN"/>
        </w:rPr>
        <w:t>100%</w:t>
      </w:r>
      <w:r w:rsidRPr="003D5FA9">
        <w:rPr>
          <w:rFonts w:ascii="Times New Roman" w:hAnsi="Times New Roman" w:cs="Times New Roman"/>
          <w:sz w:val="28"/>
          <w:szCs w:val="28"/>
          <w:lang w:val="vi-VN"/>
        </w:rPr>
        <w:t xml:space="preserve"> (trừ văn bản mật). Đã khắc phục cơ bản tình trạng "ký tay, đóng dấu rồi scan văn bản" để gửi đi. Hiện nay, hầu hết các lãnh đạo cấp Bộ và cấp Sở đã sử dụng chữ ký số cá nhân (USB Token hoặc SIM PKI) để phê duyệt hồ sơ, văn bản ngay trên thiết bị di động, đảm bảo tính pháp lý theo quy định của Nghị định số 23/2025/NĐ-CP ngày 21/02/2025 về chữ ký điện tử và dịch vụ tin cậy.</w:t>
      </w:r>
    </w:p>
    <w:p w14:paraId="3CC8AC46" w14:textId="749D4876" w:rsidR="008E74CD" w:rsidRPr="003D5FA9" w:rsidRDefault="008E74CD" w:rsidP="008E74CD">
      <w:pPr>
        <w:spacing w:before="120" w:after="120"/>
        <w:ind w:firstLine="720"/>
        <w:rPr>
          <w:rFonts w:ascii="Times New Roman" w:hAnsi="Times New Roman" w:cs="Times New Roman"/>
          <w:sz w:val="28"/>
          <w:szCs w:val="28"/>
          <w:lang w:val="vi-VN"/>
        </w:rPr>
      </w:pPr>
      <w:r w:rsidRPr="003D5FA9">
        <w:rPr>
          <w:rFonts w:ascii="Times New Roman" w:hAnsi="Times New Roman" w:cs="Times New Roman"/>
          <w:sz w:val="28"/>
          <w:szCs w:val="28"/>
        </w:rPr>
        <w:t xml:space="preserve">- </w:t>
      </w:r>
      <w:r w:rsidRPr="003D5FA9">
        <w:rPr>
          <w:rFonts w:ascii="Times New Roman" w:hAnsi="Times New Roman" w:cs="Times New Roman"/>
          <w:b/>
          <w:bCs/>
          <w:i/>
          <w:iCs/>
          <w:sz w:val="28"/>
          <w:szCs w:val="28"/>
        </w:rPr>
        <w:t>Về nhân lực cho chuyển đổi số</w:t>
      </w:r>
      <w:r w:rsidR="00430FB8" w:rsidRPr="003D5FA9">
        <w:rPr>
          <w:rFonts w:ascii="Times New Roman" w:hAnsi="Times New Roman" w:cs="Times New Roman"/>
          <w:sz w:val="28"/>
          <w:szCs w:val="28"/>
          <w:lang w:val="vi-VN"/>
        </w:rPr>
        <w:t>:</w:t>
      </w:r>
    </w:p>
    <w:p w14:paraId="72D26E94" w14:textId="19D1F277" w:rsidR="00430FB8" w:rsidRPr="003D5FA9" w:rsidRDefault="00430FB8" w:rsidP="00430FB8">
      <w:pPr>
        <w:spacing w:before="120" w:after="120"/>
        <w:ind w:firstLine="720"/>
        <w:jc w:val="both"/>
        <w:rPr>
          <w:rFonts w:ascii="Times New Roman" w:hAnsi="Times New Roman" w:cs="Times New Roman"/>
          <w:sz w:val="28"/>
          <w:szCs w:val="28"/>
        </w:rPr>
      </w:pPr>
      <w:r w:rsidRPr="003D5FA9">
        <w:rPr>
          <w:rFonts w:ascii="Times New Roman" w:hAnsi="Times New Roman" w:cs="Times New Roman"/>
          <w:sz w:val="28"/>
          <w:szCs w:val="28"/>
          <w:lang w:val="vi-VN"/>
        </w:rPr>
        <w:t>Chính phủ xác định yếu tố con người là trung tâm của công cuộc chuyển đổi số, do đó đã chỉ đạo các Bộ, ngành triển khai đồng bộ hai mũi nhọn: vừa hoàn thiện cơ chế đãi ngộ để "giữ chân" nhân tài khu vực công, vừa đổi mới đào tạo để "tạo nguồn" nhân lực chất lượng cao cho tương lai.</w:t>
      </w:r>
      <w:r w:rsidR="00D63617" w:rsidRPr="003D5FA9">
        <w:rPr>
          <w:rFonts w:ascii="Times New Roman" w:hAnsi="Times New Roman" w:cs="Times New Roman"/>
          <w:sz w:val="28"/>
          <w:szCs w:val="28"/>
        </w:rPr>
        <w:t xml:space="preserve"> Tính đến cuối năm 2025, mật độ nhân lực nghiên cứu khoa học và phát triển công nghệ của Việt Nam đạt </w:t>
      </w:r>
      <w:r w:rsidR="00D63617" w:rsidRPr="003D5FA9">
        <w:rPr>
          <w:rFonts w:ascii="Times New Roman" w:hAnsi="Times New Roman" w:cs="Times New Roman"/>
          <w:b/>
          <w:bCs/>
          <w:sz w:val="28"/>
          <w:szCs w:val="28"/>
        </w:rPr>
        <w:t>10,07 người/vạn dân.</w:t>
      </w:r>
      <w:r w:rsidR="00285985" w:rsidRPr="003D5FA9">
        <w:rPr>
          <w:rFonts w:ascii="Times New Roman" w:hAnsi="Times New Roman" w:cs="Times New Roman"/>
          <w:b/>
          <w:bCs/>
          <w:sz w:val="28"/>
          <w:szCs w:val="28"/>
        </w:rPr>
        <w:t xml:space="preserve"> </w:t>
      </w:r>
    </w:p>
    <w:p w14:paraId="65CD38F7" w14:textId="6EFE71A1" w:rsidR="00430FB8" w:rsidRPr="003D5FA9" w:rsidRDefault="00430FB8" w:rsidP="00285985">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Về cơ chế, chính sách đãi ngộ và thu hút nhân lực: Chính phủ đã chỉ đạo Bộ Nội vụ phối hợp với Bộ Tài chính và các cơ quan liên quan cụ thể hóa các ưu đãi mang tính đột phá.</w:t>
      </w:r>
      <w:r w:rsidR="00285985" w:rsidRPr="003D5FA9">
        <w:rPr>
          <w:rFonts w:ascii="Times New Roman" w:hAnsi="Times New Roman" w:cs="Times New Roman"/>
          <w:sz w:val="28"/>
          <w:szCs w:val="28"/>
        </w:rPr>
        <w:t xml:space="preserve"> </w:t>
      </w:r>
      <w:r w:rsidRPr="003D5FA9">
        <w:rPr>
          <w:rFonts w:ascii="Times New Roman" w:hAnsi="Times New Roman" w:cs="Times New Roman"/>
          <w:sz w:val="28"/>
          <w:szCs w:val="28"/>
          <w:lang w:val="vi-VN"/>
        </w:rPr>
        <w:t>Cụ thể, Chính phủ đã ban hành Nghị định số 179/2025/NĐ-CP ngày 01/7/2025 quy định mức hỗ trợ đối với người làm công tác chuyên trách về chuyển đổi số, an toàn thông tin mạng. Đây là chính sách quan trọng nhằm bảo đảm thu nhập, giảm thiểu tình trạng "chảy máu chất xám" từ khu vực công sang khu vực tư.</w:t>
      </w:r>
      <w:r w:rsidR="00285985" w:rsidRPr="003D5FA9">
        <w:rPr>
          <w:rFonts w:ascii="Times New Roman" w:hAnsi="Times New Roman" w:cs="Times New Roman"/>
          <w:sz w:val="28"/>
          <w:szCs w:val="28"/>
        </w:rPr>
        <w:t xml:space="preserve"> </w:t>
      </w:r>
      <w:r w:rsidRPr="003D5FA9">
        <w:rPr>
          <w:rFonts w:ascii="Times New Roman" w:hAnsi="Times New Roman" w:cs="Times New Roman"/>
          <w:sz w:val="28"/>
          <w:szCs w:val="28"/>
          <w:lang w:val="vi-VN"/>
        </w:rPr>
        <w:t>Đồng thời, để định hình đội ngũ dẫn dắt, Chính phủ đã ban hành Nghị định số 231/2025/NĐ-CP ngày 26/8/2025 quy định về tuyển chọn, sử dụng Tổng công trình sư, Kiến trúc sư trưởng về chuyển đổi số quốc gia, tạo cơ sở pháp lý để tuyển dụng các chuyên gia đầu ngành với chế độ đãi ngộ vượt trội.</w:t>
      </w:r>
    </w:p>
    <w:p w14:paraId="1F3E68E8" w14:textId="0D809D68" w:rsidR="00430FB8" w:rsidRPr="003D5FA9" w:rsidRDefault="00430FB8" w:rsidP="00430FB8">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lastRenderedPageBreak/>
        <w:t>Về công tác đào tạo và phổ cập kỹ năng số: Chính phủ đã chỉ đạo Bộ Giáo dục và Đào tạo và các địa phương thực hiện chiến lược "Bình dân học vụ số" và đào tạo nhân lực mũi nhọn.</w:t>
      </w:r>
    </w:p>
    <w:p w14:paraId="3C550A91" w14:textId="0CA26EB6" w:rsidR="00430FB8" w:rsidRPr="003D5FA9" w:rsidRDefault="00430FB8" w:rsidP="00430FB8">
      <w:pPr>
        <w:spacing w:before="120" w:after="120"/>
        <w:ind w:firstLine="720"/>
        <w:jc w:val="both"/>
        <w:rPr>
          <w:rFonts w:ascii="Times New Roman" w:hAnsi="Times New Roman" w:cs="Times New Roman"/>
          <w:sz w:val="28"/>
          <w:szCs w:val="28"/>
          <w:lang w:val="vi-VN"/>
        </w:rPr>
      </w:pPr>
      <w:r w:rsidRPr="003D5FA9">
        <w:rPr>
          <w:rFonts w:ascii="Times New Roman" w:hAnsi="Times New Roman" w:cs="Times New Roman"/>
          <w:sz w:val="28"/>
          <w:szCs w:val="28"/>
          <w:lang w:val="vi-VN"/>
        </w:rPr>
        <w:t>Thủ tướng Chính phủ đã ban hành Quyết định số 29/2025/QĐ-TTg ngày 28/8/2025 về tín dụng ưu đãi đối với học sinh, sinh viên các ngành khoa học, công nghệ, kỹ thuật và toán học (STEM), tạo động lực tài chính khuyến khích người học tham gia các ngành công nghệ cao.</w:t>
      </w:r>
    </w:p>
    <w:p w14:paraId="65A16437" w14:textId="25834008" w:rsidR="00430FB8" w:rsidRPr="003D5FA9" w:rsidRDefault="00430FB8" w:rsidP="00430FB8">
      <w:pPr>
        <w:spacing w:before="120" w:after="120"/>
        <w:ind w:firstLine="720"/>
        <w:jc w:val="both"/>
        <w:rPr>
          <w:rFonts w:ascii="Times New Roman" w:hAnsi="Times New Roman" w:cs="Times New Roman"/>
          <w:spacing w:val="-2"/>
          <w:sz w:val="28"/>
          <w:szCs w:val="28"/>
          <w:lang w:val="vi-VN"/>
        </w:rPr>
      </w:pPr>
      <w:r w:rsidRPr="003D5FA9">
        <w:rPr>
          <w:rFonts w:ascii="Times New Roman" w:hAnsi="Times New Roman" w:cs="Times New Roman"/>
          <w:spacing w:val="-2"/>
          <w:sz w:val="28"/>
          <w:szCs w:val="28"/>
          <w:lang w:val="vi-VN"/>
        </w:rPr>
        <w:t>Các Bộ, ngành đã tổ chức các khóa đào tạo, tập huấn về kỹ năng số, kỹ năng khai thác dữ liệu và bảo đảm an toàn thông tin cho cán bộ, công chức, viên chức. Tuy nhiên, theo báo cáo của Bộ Nội vụ, công tác quản lý nhân sự dựa trên dữ liệu vẫn còn hạn chế do việc đối khớp giữa Cơ sở dữ liệu quốc gia về Cán bộ, công chức, viên chức với Cơ sở dữ liệu quốc gia về dân cư mới chỉ đạt tỷ lệ 20%. Chính phủ đã giao Bộ Công an khẩn trương hỗ trợ Bộ Nội vụ xử lý dứt điểm điểm nghẽn kỹ thuật này để hoàn thành chuẩn hóa dữ liệu nhân sự toàn quốc ngay trong năm 2025.</w:t>
      </w:r>
    </w:p>
    <w:p w14:paraId="3A9E3994" w14:textId="653F0875" w:rsidR="00106672" w:rsidRPr="003D5FA9" w:rsidRDefault="00C709B4" w:rsidP="000E786A">
      <w:pPr>
        <w:pStyle w:val="Heading3"/>
        <w:spacing w:before="120"/>
        <w:ind w:firstLine="720"/>
        <w:jc w:val="both"/>
        <w:rPr>
          <w:rFonts w:ascii="Times New Roman" w:hAnsi="Times New Roman" w:cs="Times New Roman"/>
          <w:i/>
          <w:iCs/>
          <w:color w:val="auto"/>
          <w:sz w:val="28"/>
          <w:szCs w:val="28"/>
        </w:rPr>
      </w:pPr>
      <w:r w:rsidRPr="003D5FA9">
        <w:rPr>
          <w:rFonts w:ascii="Times New Roman" w:hAnsi="Times New Roman" w:cs="Times New Roman"/>
          <w:i/>
          <w:iCs/>
          <w:color w:val="auto"/>
          <w:sz w:val="28"/>
          <w:szCs w:val="28"/>
        </w:rPr>
        <w:t>2</w:t>
      </w:r>
      <w:r w:rsidR="007E09CE" w:rsidRPr="003D5FA9">
        <w:rPr>
          <w:rFonts w:ascii="Times New Roman" w:hAnsi="Times New Roman" w:cs="Times New Roman"/>
          <w:i/>
          <w:iCs/>
          <w:color w:val="auto"/>
          <w:sz w:val="28"/>
          <w:szCs w:val="28"/>
        </w:rPr>
        <w:t>.2</w:t>
      </w:r>
      <w:r w:rsidR="00106672" w:rsidRPr="003D5FA9">
        <w:rPr>
          <w:rFonts w:ascii="Times New Roman" w:hAnsi="Times New Roman" w:cs="Times New Roman"/>
          <w:i/>
          <w:iCs/>
          <w:color w:val="auto"/>
          <w:sz w:val="28"/>
          <w:szCs w:val="28"/>
        </w:rPr>
        <w:t>. V</w:t>
      </w:r>
      <w:r w:rsidR="000B462B" w:rsidRPr="003D5FA9">
        <w:rPr>
          <w:rFonts w:ascii="Times New Roman" w:hAnsi="Times New Roman" w:cs="Times New Roman"/>
          <w:i/>
          <w:iCs/>
          <w:color w:val="auto"/>
          <w:sz w:val="28"/>
          <w:szCs w:val="28"/>
        </w:rPr>
        <w:t>ề</w:t>
      </w:r>
      <w:r w:rsidR="00106672" w:rsidRPr="003D5FA9">
        <w:rPr>
          <w:rFonts w:ascii="Times New Roman" w:hAnsi="Times New Roman" w:cs="Times New Roman"/>
          <w:i/>
          <w:iCs/>
          <w:color w:val="auto"/>
          <w:sz w:val="28"/>
          <w:szCs w:val="28"/>
        </w:rPr>
        <w:t xml:space="preserve"> </w:t>
      </w:r>
      <w:r w:rsidR="00626BBD" w:rsidRPr="003D5FA9">
        <w:rPr>
          <w:rFonts w:ascii="Times New Roman" w:hAnsi="Times New Roman" w:cs="Times New Roman"/>
          <w:i/>
          <w:iCs/>
          <w:color w:val="auto"/>
          <w:sz w:val="28"/>
          <w:szCs w:val="28"/>
        </w:rPr>
        <w:t>kinh tế số xã hội số</w:t>
      </w:r>
    </w:p>
    <w:p w14:paraId="65419630" w14:textId="74F0FB99" w:rsidR="007B3F09" w:rsidRPr="003D5FA9" w:rsidRDefault="007B3F09" w:rsidP="007B3F09">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Về phát triển Kinh tế số: </w:t>
      </w:r>
      <w:r w:rsidR="00572BC2" w:rsidRPr="003D5FA9">
        <w:rPr>
          <w:rFonts w:ascii="Times New Roman" w:hAnsi="Times New Roman" w:cs="Times New Roman"/>
          <w:sz w:val="28"/>
          <w:szCs w:val="28"/>
        </w:rPr>
        <w:t>T</w:t>
      </w:r>
      <w:r w:rsidRPr="003D5FA9">
        <w:rPr>
          <w:rFonts w:ascii="Times New Roman" w:hAnsi="Times New Roman" w:cs="Times New Roman"/>
          <w:sz w:val="28"/>
          <w:szCs w:val="28"/>
        </w:rPr>
        <w:t xml:space="preserve">ỷ trọng kinh tế số trong GDP năm 2025 ước đạt </w:t>
      </w:r>
      <w:r w:rsidRPr="003D5FA9">
        <w:rPr>
          <w:rFonts w:ascii="Times New Roman" w:hAnsi="Times New Roman" w:cs="Times New Roman"/>
          <w:b/>
          <w:bCs/>
          <w:sz w:val="28"/>
          <w:szCs w:val="28"/>
        </w:rPr>
        <w:t>18,72%,</w:t>
      </w:r>
      <w:r w:rsidRPr="003D5FA9">
        <w:rPr>
          <w:rFonts w:ascii="Times New Roman" w:hAnsi="Times New Roman" w:cs="Times New Roman"/>
          <w:sz w:val="28"/>
          <w:szCs w:val="28"/>
        </w:rPr>
        <w:t xml:space="preserve"> tiệm cận mục tiêu </w:t>
      </w:r>
      <w:r w:rsidRPr="003D5FA9">
        <w:rPr>
          <w:rFonts w:ascii="Times New Roman" w:hAnsi="Times New Roman" w:cs="Times New Roman"/>
          <w:b/>
          <w:bCs/>
          <w:sz w:val="28"/>
          <w:szCs w:val="28"/>
        </w:rPr>
        <w:t>20%</w:t>
      </w:r>
      <w:r w:rsidRPr="003D5FA9">
        <w:rPr>
          <w:rFonts w:ascii="Times New Roman" w:hAnsi="Times New Roman" w:cs="Times New Roman"/>
          <w:sz w:val="28"/>
          <w:szCs w:val="28"/>
        </w:rPr>
        <w:t xml:space="preserve"> của cả giai đoạn.</w:t>
      </w:r>
    </w:p>
    <w:p w14:paraId="41D63799" w14:textId="7DAA2EB5" w:rsidR="007B3F09" w:rsidRPr="003D5FA9" w:rsidRDefault="007B3F09" w:rsidP="007B3F09">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Công nghiệp công nghệ số: Chính phủ đã chỉ đạo thúc đẩy chiến lược "Make in Vietnam", đưa các doanh nghiệp công nghệ số vươn ra thị trường toàn cầu. Doanh thu từ thị trường nước ngoài của các doanh nghiệp bưu chính, viễn thông và công nghệ thông tin tiếp tục duy trì đà tăng trưởng 2 con số.</w:t>
      </w:r>
    </w:p>
    <w:p w14:paraId="28D40B00" w14:textId="7B341436" w:rsidR="007B3F09" w:rsidRPr="003D5FA9" w:rsidRDefault="007B3F09" w:rsidP="007B3F09">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Thương mại điện tử và Quản lý thuế: Chính phủ đã chỉ đạo Bộ Tài chính siết chặt kỷ cương và chống thất thu thuế trong hoạt động thương mại điện tử. Với việc ban hành Nghị định số 117/2025/NĐ-CP ngày 09/6/2025 quy định quản lý thuế đối với hộ kinh doanh, cá nhân trên nền tảng số và Nghị định số 70/2025/NĐ-CP về hóa đơn chứng từ, công tác quản lý thuế đã đi vào nề nếp. </w:t>
      </w:r>
      <w:r w:rsidRPr="003D5FA9">
        <w:rPr>
          <w:rFonts w:ascii="Times New Roman" w:hAnsi="Times New Roman" w:cs="Times New Roman"/>
          <w:b/>
          <w:bCs/>
          <w:sz w:val="28"/>
          <w:szCs w:val="28"/>
        </w:rPr>
        <w:t>100% các sàn</w:t>
      </w:r>
      <w:r w:rsidRPr="003D5FA9">
        <w:rPr>
          <w:rFonts w:ascii="Times New Roman" w:hAnsi="Times New Roman" w:cs="Times New Roman"/>
          <w:sz w:val="28"/>
          <w:szCs w:val="28"/>
        </w:rPr>
        <w:t xml:space="preserve"> thương mại điện tử lớn đã thực hiện kết nối, chia sẻ dữ liệu với cơ quan thuế, giúp số thu ngân sách từ lĩnh vực này tăng trưởng mạnh so với năm 2024.</w:t>
      </w:r>
    </w:p>
    <w:p w14:paraId="255EF0A7" w14:textId="4E696E91" w:rsidR="007B3F09" w:rsidRPr="003D5FA9" w:rsidRDefault="007B3F09" w:rsidP="007B3F09">
      <w:pPr>
        <w:spacing w:before="120" w:after="0"/>
        <w:ind w:firstLine="720"/>
        <w:jc w:val="both"/>
        <w:rPr>
          <w:rFonts w:ascii="Times New Roman" w:hAnsi="Times New Roman" w:cs="Times New Roman"/>
          <w:spacing w:val="-4"/>
          <w:sz w:val="28"/>
          <w:szCs w:val="28"/>
        </w:rPr>
      </w:pPr>
      <w:r w:rsidRPr="003D5FA9">
        <w:rPr>
          <w:rFonts w:ascii="Times New Roman" w:hAnsi="Times New Roman" w:cs="Times New Roman"/>
          <w:spacing w:val="-4"/>
          <w:sz w:val="28"/>
          <w:szCs w:val="28"/>
        </w:rPr>
        <w:t>Về phát triển Xã hội số: Chính phủ tập trung vào việc phổ cập hạ tầng và tiện ích số để người dân được thụ hưởng thành quả của chuyển đổi số.</w:t>
      </w:r>
      <w:r w:rsidR="00862FD7" w:rsidRPr="003D5FA9">
        <w:rPr>
          <w:rFonts w:ascii="Times New Roman" w:hAnsi="Times New Roman" w:cs="Times New Roman"/>
          <w:spacing w:val="-4"/>
          <w:sz w:val="28"/>
          <w:szCs w:val="28"/>
        </w:rPr>
        <w:t xml:space="preserve"> Người dân đã bắt đầu hình thành thói quen ký số thay vì ký tay. Tỷ lệ dân số trưởng thành có chữ ký số hoặc chữ ký điện tử cá nhân đạt </w:t>
      </w:r>
      <w:r w:rsidR="00862FD7" w:rsidRPr="003D5FA9">
        <w:rPr>
          <w:rFonts w:ascii="Times New Roman" w:hAnsi="Times New Roman" w:cs="Times New Roman"/>
          <w:b/>
          <w:bCs/>
          <w:spacing w:val="-4"/>
          <w:sz w:val="28"/>
          <w:szCs w:val="28"/>
        </w:rPr>
        <w:t>40,76%</w:t>
      </w:r>
      <w:r w:rsidR="00862FD7" w:rsidRPr="003D5FA9">
        <w:rPr>
          <w:rFonts w:ascii="Times New Roman" w:hAnsi="Times New Roman" w:cs="Times New Roman"/>
          <w:spacing w:val="-4"/>
          <w:sz w:val="28"/>
          <w:szCs w:val="28"/>
        </w:rPr>
        <w:t xml:space="preserve"> (tương đương hơn 25 triệu chứng thư số). </w:t>
      </w:r>
    </w:p>
    <w:p w14:paraId="1214687C" w14:textId="5AD019A3" w:rsidR="007B3F09" w:rsidRPr="003D5FA9" w:rsidRDefault="007B3F09" w:rsidP="007B3F09">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Thanh toán không dùng tiền mặt: Chính phủ đã chỉ đạo Ngân hàng Nhà nước phối hợp với Bộ Công an triển khai Đề án 06 trong lĩnh vực ngân hàng. Việc "làm sạch" dữ liệu tài khoản ngân hàng (khớp nối với dữ liệu dân cư) đã giúp loại bỏ hàng triệu tài khoản rác, tài khoản ảo. </w:t>
      </w:r>
      <w:r w:rsidR="008A7C85" w:rsidRPr="003D5FA9">
        <w:rPr>
          <w:rFonts w:ascii="Times New Roman" w:hAnsi="Times New Roman" w:cs="Times New Roman"/>
          <w:sz w:val="28"/>
          <w:szCs w:val="28"/>
        </w:rPr>
        <w:t>Giá trị thanh toán không dùng tiền mặt</w:t>
      </w:r>
      <w:r w:rsidR="008A7C85" w:rsidRPr="003D5FA9">
        <w:rPr>
          <w:rFonts w:ascii="Times New Roman" w:hAnsi="Times New Roman" w:cs="Times New Roman"/>
          <w:b/>
          <w:bCs/>
          <w:sz w:val="28"/>
          <w:szCs w:val="28"/>
        </w:rPr>
        <w:t xml:space="preserve"> </w:t>
      </w:r>
      <w:r w:rsidR="008A7C85" w:rsidRPr="003D5FA9">
        <w:rPr>
          <w:rFonts w:ascii="Times New Roman" w:hAnsi="Times New Roman" w:cs="Times New Roman"/>
          <w:sz w:val="28"/>
          <w:szCs w:val="28"/>
        </w:rPr>
        <w:t xml:space="preserve">đạt </w:t>
      </w:r>
      <w:r w:rsidR="008A7C85" w:rsidRPr="003D5FA9">
        <w:rPr>
          <w:rFonts w:ascii="Times New Roman" w:hAnsi="Times New Roman" w:cs="Times New Roman"/>
          <w:sz w:val="28"/>
          <w:szCs w:val="28"/>
        </w:rPr>
        <w:lastRenderedPageBreak/>
        <w:t xml:space="preserve">mức kỷ lục </w:t>
      </w:r>
      <w:r w:rsidR="008A7C85" w:rsidRPr="003D5FA9">
        <w:rPr>
          <w:rFonts w:ascii="Times New Roman" w:hAnsi="Times New Roman" w:cs="Times New Roman"/>
          <w:b/>
          <w:bCs/>
          <w:sz w:val="28"/>
          <w:szCs w:val="28"/>
        </w:rPr>
        <w:t>gấp 25 lần GDP.</w:t>
      </w:r>
      <w:r w:rsidR="00BA2BE2" w:rsidRPr="003D5FA9">
        <w:rPr>
          <w:rFonts w:ascii="Times New Roman" w:hAnsi="Times New Roman" w:cs="Times New Roman"/>
          <w:b/>
          <w:bCs/>
          <w:sz w:val="28"/>
          <w:szCs w:val="28"/>
        </w:rPr>
        <w:t xml:space="preserve"> </w:t>
      </w:r>
      <w:r w:rsidR="00BA2BE2" w:rsidRPr="003D5FA9">
        <w:rPr>
          <w:rFonts w:ascii="Times New Roman" w:hAnsi="Times New Roman" w:cs="Times New Roman"/>
          <w:sz w:val="28"/>
          <w:szCs w:val="28"/>
        </w:rPr>
        <w:t>Năng lực tiếp cận tài chính số đã được phổ cập rộng rãi. Tỷ lệ người dân từ 15 tuổi trở lên có tài khoản giao dịch tại ngân hàng đạt</w:t>
      </w:r>
      <w:r w:rsidR="00BA2BE2" w:rsidRPr="003D5FA9">
        <w:rPr>
          <w:rFonts w:ascii="Times New Roman" w:hAnsi="Times New Roman" w:cs="Times New Roman"/>
          <w:b/>
          <w:bCs/>
          <w:sz w:val="28"/>
          <w:szCs w:val="28"/>
        </w:rPr>
        <w:t xml:space="preserve"> 87%</w:t>
      </w:r>
      <w:r w:rsidR="00061A76" w:rsidRPr="003D5FA9">
        <w:rPr>
          <w:rFonts w:ascii="Times New Roman" w:hAnsi="Times New Roman" w:cs="Times New Roman"/>
          <w:b/>
          <w:bCs/>
          <w:sz w:val="28"/>
          <w:szCs w:val="28"/>
        </w:rPr>
        <w:t xml:space="preserve">. </w:t>
      </w:r>
      <w:r w:rsidR="00061A76" w:rsidRPr="003D5FA9">
        <w:rPr>
          <w:rFonts w:ascii="Times New Roman" w:hAnsi="Times New Roman" w:cs="Times New Roman"/>
          <w:sz w:val="28"/>
          <w:szCs w:val="28"/>
        </w:rPr>
        <w:t>Các nỗ lực chuyển đổi số và ứng dụng khoa học công nghệ đã góp phần trực tiếp nâng cao chất lượng sống. Chỉ số phát triển con người (HDI) của Việt Nam năm 2025 đạt mức</w:t>
      </w:r>
      <w:r w:rsidR="00061A76" w:rsidRPr="003D5FA9">
        <w:rPr>
          <w:rFonts w:ascii="Times New Roman" w:hAnsi="Times New Roman" w:cs="Times New Roman"/>
          <w:b/>
          <w:bCs/>
          <w:sz w:val="28"/>
          <w:szCs w:val="28"/>
        </w:rPr>
        <w:t xml:space="preserve"> 0,766</w:t>
      </w:r>
      <w:r w:rsidR="0058723F" w:rsidRPr="003D5FA9">
        <w:rPr>
          <w:rFonts w:ascii="Times New Roman" w:hAnsi="Times New Roman" w:cs="Times New Roman"/>
          <w:b/>
          <w:bCs/>
          <w:sz w:val="28"/>
          <w:szCs w:val="28"/>
        </w:rPr>
        <w:t xml:space="preserve">, </w:t>
      </w:r>
      <w:r w:rsidR="0058723F" w:rsidRPr="003D5FA9">
        <w:rPr>
          <w:rFonts w:ascii="Times New Roman" w:hAnsi="Times New Roman" w:cs="Times New Roman"/>
          <w:sz w:val="28"/>
          <w:szCs w:val="28"/>
        </w:rPr>
        <w:t>giúp Việt Nam duy trì vị trí trong nhóm quốc gia có chỉ số phát triển con người cao</w:t>
      </w:r>
      <w:r w:rsidR="0058723F" w:rsidRPr="003D5FA9">
        <w:rPr>
          <w:rFonts w:ascii="Times New Roman" w:hAnsi="Times New Roman" w:cs="Times New Roman"/>
          <w:b/>
          <w:bCs/>
          <w:sz w:val="28"/>
          <w:szCs w:val="28"/>
        </w:rPr>
        <w:t xml:space="preserve"> (</w:t>
      </w:r>
      <w:r w:rsidR="0058723F" w:rsidRPr="003D5FA9">
        <w:rPr>
          <w:rFonts w:ascii="Times New Roman" w:hAnsi="Times New Roman" w:cs="Times New Roman"/>
          <w:sz w:val="28"/>
          <w:szCs w:val="28"/>
        </w:rPr>
        <w:t>đứng thứ</w:t>
      </w:r>
      <w:r w:rsidR="0058723F" w:rsidRPr="003D5FA9">
        <w:rPr>
          <w:rFonts w:ascii="Times New Roman" w:hAnsi="Times New Roman" w:cs="Times New Roman"/>
          <w:b/>
          <w:bCs/>
          <w:sz w:val="28"/>
          <w:szCs w:val="28"/>
        </w:rPr>
        <w:t xml:space="preserve"> 93/193 </w:t>
      </w:r>
      <w:r w:rsidR="0058723F" w:rsidRPr="003D5FA9">
        <w:rPr>
          <w:rFonts w:ascii="Times New Roman" w:hAnsi="Times New Roman" w:cs="Times New Roman"/>
          <w:sz w:val="28"/>
          <w:szCs w:val="28"/>
        </w:rPr>
        <w:t>quốc gia)</w:t>
      </w:r>
      <w:r w:rsidR="00053413" w:rsidRPr="003D5FA9">
        <w:rPr>
          <w:rFonts w:ascii="Times New Roman" w:hAnsi="Times New Roman" w:cs="Times New Roman"/>
          <w:sz w:val="28"/>
          <w:szCs w:val="28"/>
        </w:rPr>
        <w:t xml:space="preserve">.  </w:t>
      </w:r>
    </w:p>
    <w:p w14:paraId="761289CE" w14:textId="7E9AD0FB" w:rsidR="007B3F09" w:rsidRPr="003D5FA9" w:rsidRDefault="007B3F09" w:rsidP="007B3F09">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Công dân số: Việc sử dụng tài khoản định danh điện tử (VNeID) đã trở thành thói quen của người dân. Ứng dụng này không chỉ thay thế giấy tờ tùy thân trong đi lại (hàng không), khám chữa bệnh (BHYT) mà còn đang được thí điểm để đánh giá khả tín (chấm điểm tín dụng) giúp người dân tiếp cận các khoản vay tài chính chính thống, đẩy lùi tín dụng đen.</w:t>
      </w:r>
    </w:p>
    <w:p w14:paraId="58891240" w14:textId="77777777" w:rsidR="007B3F09" w:rsidRPr="003D5FA9" w:rsidRDefault="007B3F09" w:rsidP="007B3F09">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Phổ cập kỹ năng số: Phong trào "Bình dân học vụ số" do các Tổ công nghệ số cộng đồng triển khai tại các địa phương đã giúp người dân, đặc biệt là ở vùng sâu, vùng xa tiếp cận kỹ năng an toàn thông tin cơ bản, biết cách sử dụng dịch vụ công trực tuyến và bảo vệ dữ liệu cá nhân trên môi trường mạng.</w:t>
      </w:r>
    </w:p>
    <w:p w14:paraId="14814DAE" w14:textId="1ACD0301" w:rsidR="00EA41FE" w:rsidRPr="003D5FA9" w:rsidRDefault="00D86DC5" w:rsidP="00EA41FE">
      <w:pPr>
        <w:spacing w:before="120" w:after="0"/>
        <w:ind w:firstLine="720"/>
        <w:jc w:val="both"/>
        <w:rPr>
          <w:rFonts w:ascii="Times New Roman" w:hAnsi="Times New Roman" w:cs="Times New Roman"/>
          <w:b/>
          <w:bCs/>
          <w:i/>
          <w:iCs/>
          <w:sz w:val="28"/>
          <w:szCs w:val="28"/>
        </w:rPr>
      </w:pPr>
      <w:r w:rsidRPr="003D5FA9">
        <w:rPr>
          <w:rFonts w:ascii="Times New Roman" w:hAnsi="Times New Roman" w:cs="Times New Roman"/>
          <w:b/>
          <w:bCs/>
          <w:i/>
          <w:iCs/>
          <w:sz w:val="28"/>
          <w:szCs w:val="28"/>
        </w:rPr>
        <w:t xml:space="preserve">2.4. </w:t>
      </w:r>
      <w:r w:rsidR="00EA41FE" w:rsidRPr="003D5FA9">
        <w:rPr>
          <w:rFonts w:ascii="Times New Roman" w:hAnsi="Times New Roman" w:cs="Times New Roman"/>
          <w:b/>
          <w:bCs/>
          <w:i/>
          <w:iCs/>
          <w:sz w:val="28"/>
          <w:szCs w:val="28"/>
        </w:rPr>
        <w:t>Về doanh nghiệp công nghệ số</w:t>
      </w:r>
    </w:p>
    <w:p w14:paraId="3F8DC17C" w14:textId="45F8FB41"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Doanh thu ước đạt </w:t>
      </w:r>
      <w:r w:rsidRPr="003D5FA9">
        <w:rPr>
          <w:rFonts w:ascii="Times New Roman" w:hAnsi="Times New Roman" w:cs="Times New Roman"/>
          <w:b/>
          <w:bCs/>
          <w:sz w:val="28"/>
          <w:szCs w:val="28"/>
        </w:rPr>
        <w:t>198 tỷ USD</w:t>
      </w:r>
      <w:r w:rsidRPr="003D5FA9">
        <w:rPr>
          <w:rFonts w:ascii="Times New Roman" w:hAnsi="Times New Roman" w:cs="Times New Roman"/>
          <w:sz w:val="28"/>
          <w:szCs w:val="28"/>
        </w:rPr>
        <w:t xml:space="preserve">, tăng </w:t>
      </w:r>
      <w:r w:rsidRPr="003D5FA9">
        <w:rPr>
          <w:rFonts w:ascii="Times New Roman" w:hAnsi="Times New Roman" w:cs="Times New Roman"/>
          <w:b/>
          <w:bCs/>
          <w:sz w:val="28"/>
          <w:szCs w:val="28"/>
        </w:rPr>
        <w:t>26%</w:t>
      </w:r>
      <w:r w:rsidRPr="003D5FA9">
        <w:rPr>
          <w:rFonts w:ascii="Times New Roman" w:hAnsi="Times New Roman" w:cs="Times New Roman"/>
          <w:sz w:val="28"/>
          <w:szCs w:val="28"/>
        </w:rPr>
        <w:t xml:space="preserve"> so với cùng kỳ năm 2024 và đạt 116% kế hoạch năm 2025.</w:t>
      </w:r>
    </w:p>
    <w:p w14:paraId="3C449182" w14:textId="7BCBC7CC"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Lợi nhuận ước đạt </w:t>
      </w:r>
      <w:r w:rsidRPr="003D5FA9">
        <w:rPr>
          <w:rFonts w:ascii="Times New Roman" w:hAnsi="Times New Roman" w:cs="Times New Roman"/>
          <w:b/>
          <w:bCs/>
          <w:sz w:val="28"/>
          <w:szCs w:val="28"/>
        </w:rPr>
        <w:t>371.201 tỷ đồng</w:t>
      </w:r>
      <w:r w:rsidRPr="003D5FA9">
        <w:rPr>
          <w:rFonts w:ascii="Times New Roman" w:hAnsi="Times New Roman" w:cs="Times New Roman"/>
          <w:sz w:val="28"/>
          <w:szCs w:val="28"/>
        </w:rPr>
        <w:t xml:space="preserve">, tăng </w:t>
      </w:r>
      <w:r w:rsidRPr="003D5FA9">
        <w:rPr>
          <w:rFonts w:ascii="Times New Roman" w:hAnsi="Times New Roman" w:cs="Times New Roman"/>
          <w:b/>
          <w:bCs/>
          <w:sz w:val="28"/>
          <w:szCs w:val="28"/>
        </w:rPr>
        <w:t>33%</w:t>
      </w:r>
      <w:r w:rsidRPr="003D5FA9">
        <w:rPr>
          <w:rFonts w:ascii="Times New Roman" w:hAnsi="Times New Roman" w:cs="Times New Roman"/>
          <w:sz w:val="28"/>
          <w:szCs w:val="28"/>
        </w:rPr>
        <w:t xml:space="preserve"> so với cùng kỳ năm 2024 và đạt </w:t>
      </w:r>
      <w:r w:rsidRPr="003D5FA9">
        <w:rPr>
          <w:rFonts w:ascii="Times New Roman" w:hAnsi="Times New Roman" w:cs="Times New Roman"/>
          <w:b/>
          <w:bCs/>
          <w:sz w:val="28"/>
          <w:szCs w:val="28"/>
        </w:rPr>
        <w:t>118%</w:t>
      </w:r>
      <w:r w:rsidRPr="003D5FA9">
        <w:rPr>
          <w:rFonts w:ascii="Times New Roman" w:hAnsi="Times New Roman" w:cs="Times New Roman"/>
          <w:sz w:val="28"/>
          <w:szCs w:val="28"/>
        </w:rPr>
        <w:t xml:space="preserve"> kế hoạch năm 2025.</w:t>
      </w:r>
    </w:p>
    <w:p w14:paraId="2D8EEB70" w14:textId="53BCDF7C"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Nộp ngân sách ước đạt </w:t>
      </w:r>
      <w:r w:rsidRPr="003D5FA9">
        <w:rPr>
          <w:rFonts w:ascii="Times New Roman" w:hAnsi="Times New Roman" w:cs="Times New Roman"/>
          <w:b/>
          <w:bCs/>
          <w:sz w:val="28"/>
          <w:szCs w:val="28"/>
        </w:rPr>
        <w:t>69.780 tỷ đồng</w:t>
      </w:r>
      <w:r w:rsidRPr="003D5FA9">
        <w:rPr>
          <w:rFonts w:ascii="Times New Roman" w:hAnsi="Times New Roman" w:cs="Times New Roman"/>
          <w:sz w:val="28"/>
          <w:szCs w:val="28"/>
        </w:rPr>
        <w:t xml:space="preserve">, tăng </w:t>
      </w:r>
      <w:r w:rsidRPr="003D5FA9">
        <w:rPr>
          <w:rFonts w:ascii="Times New Roman" w:hAnsi="Times New Roman" w:cs="Times New Roman"/>
          <w:b/>
          <w:bCs/>
          <w:sz w:val="28"/>
          <w:szCs w:val="28"/>
        </w:rPr>
        <w:t>28%</w:t>
      </w:r>
      <w:r w:rsidRPr="003D5FA9">
        <w:rPr>
          <w:rFonts w:ascii="Times New Roman" w:hAnsi="Times New Roman" w:cs="Times New Roman"/>
          <w:sz w:val="28"/>
          <w:szCs w:val="28"/>
        </w:rPr>
        <w:t xml:space="preserve"> so với cùng kỳ năm 2024 và đạt 110% kế hoạch năm 2025.</w:t>
      </w:r>
    </w:p>
    <w:p w14:paraId="5EEAFEE7" w14:textId="0FD673FD"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Đóng góp vào GDP ước đạt </w:t>
      </w:r>
      <w:r w:rsidRPr="003D5FA9">
        <w:rPr>
          <w:rFonts w:ascii="Times New Roman" w:hAnsi="Times New Roman" w:cs="Times New Roman"/>
          <w:b/>
          <w:bCs/>
          <w:sz w:val="28"/>
          <w:szCs w:val="28"/>
        </w:rPr>
        <w:t>1.075.120 tỷ đồng</w:t>
      </w:r>
      <w:r w:rsidRPr="003D5FA9">
        <w:rPr>
          <w:rFonts w:ascii="Times New Roman" w:hAnsi="Times New Roman" w:cs="Times New Roman"/>
          <w:sz w:val="28"/>
          <w:szCs w:val="28"/>
        </w:rPr>
        <w:t xml:space="preserve">, tăng </w:t>
      </w:r>
      <w:r w:rsidRPr="003D5FA9">
        <w:rPr>
          <w:rFonts w:ascii="Times New Roman" w:hAnsi="Times New Roman" w:cs="Times New Roman"/>
          <w:b/>
          <w:bCs/>
          <w:sz w:val="28"/>
          <w:szCs w:val="28"/>
        </w:rPr>
        <w:t>10%</w:t>
      </w:r>
      <w:r w:rsidRPr="003D5FA9">
        <w:rPr>
          <w:rFonts w:ascii="Times New Roman" w:hAnsi="Times New Roman" w:cs="Times New Roman"/>
          <w:sz w:val="28"/>
          <w:szCs w:val="28"/>
        </w:rPr>
        <w:t xml:space="preserve"> so với cùng kỳ năm 2024 và đạt 105% kế hoạch năm 2025.</w:t>
      </w:r>
    </w:p>
    <w:p w14:paraId="7841CE3D" w14:textId="312C5F84"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Kim ngạch xuất khẩu phần cứng, điện tử ước đạt </w:t>
      </w:r>
      <w:r w:rsidRPr="003D5FA9">
        <w:rPr>
          <w:rFonts w:ascii="Times New Roman" w:hAnsi="Times New Roman" w:cs="Times New Roman"/>
          <w:b/>
          <w:bCs/>
          <w:sz w:val="28"/>
          <w:szCs w:val="28"/>
        </w:rPr>
        <w:t>178 tỷ USD</w:t>
      </w:r>
      <w:r w:rsidRPr="003D5FA9">
        <w:rPr>
          <w:rFonts w:ascii="Times New Roman" w:hAnsi="Times New Roman" w:cs="Times New Roman"/>
          <w:sz w:val="28"/>
          <w:szCs w:val="28"/>
        </w:rPr>
        <w:t xml:space="preserve">, tăng </w:t>
      </w:r>
      <w:r w:rsidRPr="003D5FA9">
        <w:rPr>
          <w:rFonts w:ascii="Times New Roman" w:hAnsi="Times New Roman" w:cs="Times New Roman"/>
          <w:b/>
          <w:bCs/>
          <w:sz w:val="28"/>
          <w:szCs w:val="28"/>
        </w:rPr>
        <w:t>35%</w:t>
      </w:r>
      <w:r w:rsidRPr="003D5FA9">
        <w:rPr>
          <w:rFonts w:ascii="Times New Roman" w:hAnsi="Times New Roman" w:cs="Times New Roman"/>
          <w:sz w:val="28"/>
          <w:szCs w:val="28"/>
        </w:rPr>
        <w:t xml:space="preserve"> so với cùng kỳ năm 2024 và đạt </w:t>
      </w:r>
      <w:r w:rsidRPr="003D5FA9">
        <w:rPr>
          <w:rFonts w:ascii="Times New Roman" w:hAnsi="Times New Roman" w:cs="Times New Roman"/>
          <w:b/>
          <w:bCs/>
          <w:sz w:val="28"/>
          <w:szCs w:val="28"/>
        </w:rPr>
        <w:t xml:space="preserve">112% </w:t>
      </w:r>
      <w:r w:rsidRPr="003D5FA9">
        <w:rPr>
          <w:rFonts w:ascii="Times New Roman" w:hAnsi="Times New Roman" w:cs="Times New Roman"/>
          <w:sz w:val="28"/>
          <w:szCs w:val="28"/>
        </w:rPr>
        <w:t>kế hoạch năm 2025.</w:t>
      </w:r>
    </w:p>
    <w:p w14:paraId="0F91F0B3" w14:textId="0E59240C"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Số doanh nghiệp công nghệ số ước khoảng </w:t>
      </w:r>
      <w:r w:rsidRPr="003D5FA9">
        <w:rPr>
          <w:rFonts w:ascii="Times New Roman" w:hAnsi="Times New Roman" w:cs="Times New Roman"/>
          <w:b/>
          <w:bCs/>
          <w:sz w:val="28"/>
          <w:szCs w:val="28"/>
        </w:rPr>
        <w:t>80.052</w:t>
      </w:r>
      <w:r w:rsidRPr="003D5FA9">
        <w:rPr>
          <w:rFonts w:ascii="Times New Roman" w:hAnsi="Times New Roman" w:cs="Times New Roman"/>
          <w:sz w:val="28"/>
          <w:szCs w:val="28"/>
        </w:rPr>
        <w:t xml:space="preserve"> doanh nghiệp đang hoạt động, tăng </w:t>
      </w:r>
      <w:r w:rsidRPr="003D5FA9">
        <w:rPr>
          <w:rFonts w:ascii="Times New Roman" w:hAnsi="Times New Roman" w:cs="Times New Roman"/>
          <w:b/>
          <w:bCs/>
          <w:sz w:val="28"/>
          <w:szCs w:val="28"/>
        </w:rPr>
        <w:t>10%</w:t>
      </w:r>
      <w:r w:rsidRPr="003D5FA9">
        <w:rPr>
          <w:rFonts w:ascii="Times New Roman" w:hAnsi="Times New Roman" w:cs="Times New Roman"/>
          <w:sz w:val="28"/>
          <w:szCs w:val="28"/>
        </w:rPr>
        <w:t xml:space="preserve"> so với cùng kỳ năm 2024.</w:t>
      </w:r>
    </w:p>
    <w:p w14:paraId="6CCBC44A" w14:textId="0CC892B7"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 Số lượng lao động trong lĩnh vực công nghệ số đạt khoảng </w:t>
      </w:r>
      <w:r w:rsidRPr="003D5FA9">
        <w:rPr>
          <w:rFonts w:ascii="Times New Roman" w:hAnsi="Times New Roman" w:cs="Times New Roman"/>
          <w:b/>
          <w:bCs/>
          <w:sz w:val="28"/>
          <w:szCs w:val="28"/>
        </w:rPr>
        <w:t>1,9 triệu người</w:t>
      </w:r>
      <w:r w:rsidRPr="003D5FA9">
        <w:rPr>
          <w:rFonts w:ascii="Times New Roman" w:hAnsi="Times New Roman" w:cs="Times New Roman"/>
          <w:sz w:val="28"/>
          <w:szCs w:val="28"/>
        </w:rPr>
        <w:t>.</w:t>
      </w:r>
    </w:p>
    <w:p w14:paraId="745D0123" w14:textId="05B12C5C" w:rsidR="00EA41FE" w:rsidRPr="003D5FA9" w:rsidRDefault="00EA41FE" w:rsidP="00EA41FE">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Cả nước hiện có </w:t>
      </w:r>
      <w:r w:rsidRPr="003D5FA9">
        <w:rPr>
          <w:rFonts w:ascii="Times New Roman" w:hAnsi="Times New Roman" w:cs="Times New Roman"/>
          <w:b/>
          <w:bCs/>
          <w:sz w:val="28"/>
          <w:szCs w:val="28"/>
        </w:rPr>
        <w:t>08</w:t>
      </w:r>
      <w:r w:rsidRPr="003D5FA9">
        <w:rPr>
          <w:rFonts w:ascii="Times New Roman" w:hAnsi="Times New Roman" w:cs="Times New Roman"/>
          <w:sz w:val="28"/>
          <w:szCs w:val="28"/>
        </w:rPr>
        <w:t xml:space="preserve"> khu công nghệ thông tin tập trung được thành lập, mở rộng và công nhận theo quy định của pháp luật, gồm: Công viên phần mềm Quang Trung; Khu CNTT tập trung Cầu Giấy (Hà Nội); Công viên phần mềm Đà Nẵng; Công viên công nghệ phần mềm Hà Nội; Khu CNTT tập trung Đà Nẵng; Khu CNTT tập trung Cần Thơ; Khu phức hợp Văn phòng FPT Đà Nẵng; Khu CNTT tập trung Bình Dương.</w:t>
      </w:r>
    </w:p>
    <w:p w14:paraId="47DA1943" w14:textId="679F84FC" w:rsidR="00106672" w:rsidRPr="003D5FA9" w:rsidRDefault="001508B8" w:rsidP="000E786A">
      <w:pPr>
        <w:pStyle w:val="Heading3"/>
        <w:spacing w:before="120"/>
        <w:ind w:firstLine="720"/>
        <w:jc w:val="both"/>
        <w:rPr>
          <w:rFonts w:ascii="Times New Roman" w:hAnsi="Times New Roman" w:cs="Times New Roman"/>
          <w:color w:val="auto"/>
          <w:sz w:val="28"/>
          <w:szCs w:val="28"/>
        </w:rPr>
      </w:pPr>
      <w:r w:rsidRPr="003D5FA9">
        <w:rPr>
          <w:rFonts w:ascii="Times New Roman" w:hAnsi="Times New Roman" w:cs="Times New Roman"/>
          <w:color w:val="auto"/>
          <w:sz w:val="28"/>
          <w:szCs w:val="28"/>
          <w:lang w:val="vi-VN"/>
        </w:rPr>
        <w:lastRenderedPageBreak/>
        <w:t>3.</w:t>
      </w:r>
      <w:r w:rsidR="00106672" w:rsidRPr="003D5FA9">
        <w:rPr>
          <w:rFonts w:ascii="Times New Roman" w:hAnsi="Times New Roman" w:cs="Times New Roman"/>
          <w:color w:val="auto"/>
          <w:sz w:val="28"/>
          <w:szCs w:val="28"/>
        </w:rPr>
        <w:t xml:space="preserve"> </w:t>
      </w:r>
      <w:r w:rsidR="00C709B4" w:rsidRPr="003D5FA9">
        <w:rPr>
          <w:rFonts w:ascii="Times New Roman" w:hAnsi="Times New Roman" w:cs="Times New Roman"/>
          <w:color w:val="auto"/>
          <w:sz w:val="28"/>
          <w:szCs w:val="28"/>
        </w:rPr>
        <w:t>Hoạt động</w:t>
      </w:r>
      <w:r w:rsidR="00626BBD" w:rsidRPr="003D5FA9">
        <w:rPr>
          <w:rFonts w:ascii="Times New Roman" w:hAnsi="Times New Roman" w:cs="Times New Roman"/>
          <w:color w:val="auto"/>
          <w:sz w:val="28"/>
          <w:szCs w:val="28"/>
        </w:rPr>
        <w:t xml:space="preserve"> triển khai đô th</w:t>
      </w:r>
      <w:r w:rsidR="00C709B4" w:rsidRPr="003D5FA9">
        <w:rPr>
          <w:rFonts w:ascii="Times New Roman" w:hAnsi="Times New Roman" w:cs="Times New Roman"/>
          <w:color w:val="auto"/>
          <w:sz w:val="28"/>
          <w:szCs w:val="28"/>
        </w:rPr>
        <w:t>ị</w:t>
      </w:r>
      <w:r w:rsidR="00626BBD" w:rsidRPr="003D5FA9">
        <w:rPr>
          <w:rFonts w:ascii="Times New Roman" w:hAnsi="Times New Roman" w:cs="Times New Roman"/>
          <w:color w:val="auto"/>
          <w:sz w:val="28"/>
          <w:szCs w:val="28"/>
        </w:rPr>
        <w:t xml:space="preserve"> thông minh</w:t>
      </w:r>
    </w:p>
    <w:p w14:paraId="69CE90A8" w14:textId="4D196400"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(1)</w:t>
      </w:r>
      <w:r w:rsidR="005662BE" w:rsidRPr="003D5FA9">
        <w:rPr>
          <w:rFonts w:ascii="Times New Roman" w:eastAsia="Times New Roman" w:hAnsi="Times New Roman" w:cs="Times New Roman"/>
          <w:bCs/>
          <w:color w:val="000000" w:themeColor="text1"/>
          <w:sz w:val="28"/>
          <w:szCs w:val="28"/>
          <w:lang w:val="en"/>
        </w:rPr>
        <w:t xml:space="preserve"> </w:t>
      </w:r>
      <w:r w:rsidRPr="003D5FA9">
        <w:rPr>
          <w:rFonts w:ascii="Times New Roman" w:eastAsia="Times New Roman" w:hAnsi="Times New Roman" w:cs="Times New Roman"/>
          <w:bCs/>
          <w:color w:val="000000" w:themeColor="text1"/>
          <w:sz w:val="28"/>
          <w:szCs w:val="28"/>
          <w:lang w:val="en"/>
        </w:rPr>
        <w:t xml:space="preserve">Về hoàn thiện thể chế phát triển đô thị thông minh: </w:t>
      </w:r>
    </w:p>
    <w:p w14:paraId="34905ED0"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Chính phủ đã ban hành Nghị định số 269/2025/NĐ-CP ngày 14/10/2015 về phát triển đô thị thông minh.</w:t>
      </w:r>
    </w:p>
    <w:p w14:paraId="21922CFA"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Sau khi Nghị định số 269/2025/NĐ-CP được ban hành, Bộ Xây dựng đã phối hợp với Bộ Khoa học và Công nghệ tổ chức Hội nghị phổ biến Nghị định vào ngày 06/11/2025 với sự tham gia của nhiều địa phương, Bộ ngành, cơ quan liên quan theo hình thức trực tiếp và trực tuyến. </w:t>
      </w:r>
    </w:p>
    <w:p w14:paraId="7FD43D5F"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(2). Về tổng kết Đề án phát triển đô thị thông minh bền vững Việt Nam giai đoạn 2018 - 2025 theo Quyết định số 950/QĐ-TTg ngày 01/8/2018 của Thủ tướng Chính phủ:</w:t>
      </w:r>
    </w:p>
    <w:p w14:paraId="0C435B74"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Bộ Xây dựng và Bộ Khoa học và Công nghệ đã đồng chủ trì, tổ chức thành công Hội nghị Tổng kết Đề án phát triển đô thị thông minh bền vững Việt Nam giai đoạn 2018 – 2025, định hướng đến năm 2030 vào ngày 13/8/2025.</w:t>
      </w:r>
    </w:p>
    <w:p w14:paraId="0F182106"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Sau khi kết thúc Hội nghị, Bộ Xây dựng đã tổng hợp, trình Thủ tướng Chính phủ báo cáo số 200/BC-BXD ngày 26/8/2025 về việc Báo cáo Tổng kết Đề án phát triển đô thị thông minh bền vững Việt Nam giai đoạn 2018 - 2025 và định hướng đến năm 2030.</w:t>
      </w:r>
    </w:p>
    <w:p w14:paraId="2BB79948"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(3). Về việc hướng dẫn, đôn đốc các địa phương phát triển đô thị thông minh:</w:t>
      </w:r>
    </w:p>
    <w:p w14:paraId="3D80182D"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Bộ Xây dựng đã phối hợp với các cơ quan chuyên môn có liên quan thực hiện các nội dung để hướng dẫn 06 thành phố trực thuộc Trung ương và các tỉnh như sau:</w:t>
      </w:r>
    </w:p>
    <w:p w14:paraId="762C58F3"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Ban hành văn bản số 12350/BXD-KHCNMT&amp;VLXD ngày 28/10/2025 về hướng dẫn áp dụng tiêu chuẩn trong các hoạt động xây dựng đối với đô thị thông minh gửi Ủy ban nhân dân các tỉnh, thành phố trực thuộc Trung ương.</w:t>
      </w:r>
    </w:p>
    <w:p w14:paraId="1E5D63FB"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Ban hành văn bản số 11254/BXD-PTĐT ngày 08/10/2025 gửi 06 thành phố trực thuộc Trung ương đề nghị cử đầu mối và đăng ký tham gia phấn đấu Top 50 bảng xếp hạng đô thị thông minh uy tín toàn cầu (triển khai theo Thông báo số 45-TB/TGV ngày 30/9/2025</w:t>
      </w:r>
      <w:r w:rsidRPr="003D5FA9">
        <w:rPr>
          <w:rFonts w:ascii="Times New Roman" w:eastAsia="Times New Roman" w:hAnsi="Times New Roman" w:cs="Times New Roman"/>
          <w:bCs/>
          <w:color w:val="000000" w:themeColor="text1"/>
          <w:sz w:val="28"/>
          <w:szCs w:val="28"/>
          <w:vertAlign w:val="superscript"/>
          <w:lang w:val="en"/>
        </w:rPr>
        <w:footnoteReference w:id="3"/>
      </w:r>
      <w:r w:rsidRPr="003D5FA9">
        <w:rPr>
          <w:rFonts w:ascii="Times New Roman" w:eastAsia="Times New Roman" w:hAnsi="Times New Roman" w:cs="Times New Roman"/>
          <w:bCs/>
          <w:color w:val="000000" w:themeColor="text1"/>
          <w:sz w:val="28"/>
          <w:szCs w:val="28"/>
          <w:lang w:val="en"/>
        </w:rPr>
        <w:t>, đến nay đã nhận được đăng ký của 02 thành phố (Hà Nội, Huế). Hiện nay theo hệ thống đánh giá đô thị thông minh IMD Smart City Index</w:t>
      </w:r>
      <w:r w:rsidRPr="003D5FA9">
        <w:rPr>
          <w:rFonts w:ascii="Times New Roman" w:eastAsia="Times New Roman" w:hAnsi="Times New Roman" w:cs="Times New Roman"/>
          <w:bCs/>
          <w:color w:val="000000" w:themeColor="text1"/>
          <w:sz w:val="28"/>
          <w:szCs w:val="28"/>
          <w:vertAlign w:val="superscript"/>
          <w:lang w:val="en"/>
        </w:rPr>
        <w:footnoteReference w:id="4"/>
      </w:r>
      <w:r w:rsidRPr="003D5FA9">
        <w:rPr>
          <w:rFonts w:ascii="Times New Roman" w:eastAsia="Times New Roman" w:hAnsi="Times New Roman" w:cs="Times New Roman"/>
          <w:bCs/>
          <w:color w:val="000000" w:themeColor="text1"/>
          <w:sz w:val="28"/>
          <w:szCs w:val="28"/>
          <w:lang w:val="en"/>
        </w:rPr>
        <w:t xml:space="preserve">, đã có 02 đô thị lớn nhất của Việt Nam được đánh giá trong bảng xếp hạng </w:t>
      </w:r>
      <w:r w:rsidRPr="003D5FA9">
        <w:rPr>
          <w:rFonts w:ascii="Times New Roman" w:eastAsia="Times New Roman" w:hAnsi="Times New Roman" w:cs="Times New Roman"/>
          <w:bCs/>
          <w:color w:val="000000" w:themeColor="text1"/>
          <w:sz w:val="28"/>
          <w:szCs w:val="28"/>
          <w:lang w:val="en"/>
        </w:rPr>
        <w:lastRenderedPageBreak/>
        <w:t>SCI năm 2025, gồm Hà Nội xếp hạng thứ 88/146 và thành phố Hồ Chí Minh xếp hạng thứ 101/146 trên tổng số đô thị được xếp hạng. Bộ Xây dựng sẽ tiếp tục đôn đốc các địa phương đăng ký theo yêu cầu tại Thông báo số 45-TB/TGV ngày 30/9/2025</w:t>
      </w:r>
      <w:r w:rsidRPr="003D5FA9">
        <w:rPr>
          <w:rFonts w:ascii="Times New Roman" w:eastAsia="Times New Roman" w:hAnsi="Times New Roman" w:cs="Times New Roman"/>
          <w:bCs/>
          <w:color w:val="000000" w:themeColor="text1"/>
          <w:sz w:val="28"/>
          <w:szCs w:val="28"/>
          <w:vertAlign w:val="superscript"/>
          <w:lang w:val="en"/>
        </w:rPr>
        <w:footnoteReference w:id="5"/>
      </w:r>
      <w:r w:rsidRPr="003D5FA9">
        <w:rPr>
          <w:rFonts w:ascii="Times New Roman" w:eastAsia="Times New Roman" w:hAnsi="Times New Roman" w:cs="Times New Roman"/>
          <w:bCs/>
          <w:color w:val="000000" w:themeColor="text1"/>
          <w:sz w:val="28"/>
          <w:szCs w:val="28"/>
          <w:lang w:val="en"/>
        </w:rPr>
        <w:t xml:space="preserve"> (tối thiểu 03 thành phố lớn của Việt Nam nằm trong Top 50 bảng xếp hạng đô thị thông minh uy tín toàn cầu).</w:t>
      </w:r>
    </w:p>
    <w:p w14:paraId="7FD157D7"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Ban hành văn bản số 7789/BXD-PTĐT ngày 04/8/2025 về Kế hoạch hành động phát triển đô thị thông minh, đề nghị các địa phương rà soát, xây dựng kế hoạch hành động cụ thể thực hiện mục tiêu phát triển đô thị thông minh tại địa phương mình đến năm 2030 và kiến nghị những khó khăn, vướng mắc cần giải quyết để Tổ công tác hỗ trợ tháo gỡ; ban hành văn bản số 12112/BXD-PTĐT ngày 23/10/2025 về triển khai phát triển đô thị thông minh gửi 06 thành phố trực thuộc Trung ương để tổ chức làm việc về các nội dung triển khai tổ chức thực hiện phát triển đô thị thông minh theo chỉ đạo tại Thông báo số 382/TB-VPCP ngày 23/7/2025</w:t>
      </w:r>
      <w:r w:rsidRPr="003D5FA9">
        <w:rPr>
          <w:rFonts w:ascii="Times New Roman" w:eastAsia="Times New Roman" w:hAnsi="Times New Roman" w:cs="Times New Roman"/>
          <w:bCs/>
          <w:color w:val="000000" w:themeColor="text1"/>
          <w:sz w:val="28"/>
          <w:szCs w:val="28"/>
          <w:vertAlign w:val="superscript"/>
          <w:lang w:val="en"/>
        </w:rPr>
        <w:footnoteReference w:id="6"/>
      </w:r>
      <w:r w:rsidRPr="003D5FA9">
        <w:rPr>
          <w:rFonts w:ascii="Times New Roman" w:eastAsia="Times New Roman" w:hAnsi="Times New Roman" w:cs="Times New Roman"/>
          <w:bCs/>
          <w:color w:val="000000" w:themeColor="text1"/>
          <w:sz w:val="28"/>
          <w:szCs w:val="28"/>
          <w:lang w:val="en"/>
        </w:rPr>
        <w:t xml:space="preserve"> và Thông báo số 45-TB/TGV ngày 30/9/2025. Bộ Xây dựng đã chủ trì làm việc tại thành phố Cần Thơ (24/10/2025) về các nội dung nêu trên. Trong thời gian tới, Bộ Xây dựng sẽ tiếp tục phối hợp các bộ, ngành làm việc trực tiếp để nắm bắt tình hình, đôn đốc việc triển khai của các địa phương.</w:t>
      </w:r>
    </w:p>
    <w:p w14:paraId="1D23D422"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Ngày 05/11/2025, Bộ Xây dựng đã tổ chức Hội thảo chuyên đề “Đổi mới sáng tạo - động lực phát triển đô thị thông minh Việt Nam” trong khuôn khổ Diễn đàn Phát triển bền vững đô thị Việt Nam năm 2025 với mục đích chia sẻ, thảo luận nhằm đưa ra những định hướng, khuyến nghị cụ thể cho mục tiêu phát triển đô thị thông minh trong bối cảnh mới hiện nay. </w:t>
      </w:r>
    </w:p>
    <w:p w14:paraId="028DEE1A" w14:textId="0097B048"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(4) Về nhiệm vụ Ủy ban nhân dân các thành phố trực thuộc Trung ương rà soát các Đề án về phát triển đô thị thông minh, về chuyển đổi số, rà soát các hoạt động phát triển đô thị thông minh đã và đang triển khai thực hiện tại địa phương mình, khẩn trương chuẩn bị, thực hiện tốt công tác phát triển đô thị phù hợp với tình hình mới theo hướng dẫn của các Bộ, ngành Trung ương: </w:t>
      </w:r>
    </w:p>
    <w:p w14:paraId="19F41571"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Nhiệm vụ phát triển đô thị thông minh tiếp tục được các thành phố tổ chức triển khai thực hiện song song với các hoạt động thúc đẩy phát triển khoa học, công nghệ, đổi mới sáng tạo và chuyển đổi số.</w:t>
      </w:r>
    </w:p>
    <w:p w14:paraId="43E75A28"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Về công tác chỉ đạo, điều hành, ban hành Đề án, chiến lược, kế hoạch hành động thực hiện mục tiêu phát triển đô thị thông minh: Các nhiệm vụ về phát triển đô thị thông minh đang được các địa phương chỉ đạo tổ chức triển khai thực hiện </w:t>
      </w:r>
      <w:r w:rsidRPr="003D5FA9">
        <w:rPr>
          <w:rFonts w:ascii="Times New Roman" w:eastAsia="Times New Roman" w:hAnsi="Times New Roman" w:cs="Times New Roman"/>
          <w:bCs/>
          <w:color w:val="000000" w:themeColor="text1"/>
          <w:sz w:val="28"/>
          <w:szCs w:val="28"/>
          <w:lang w:val="en"/>
        </w:rPr>
        <w:lastRenderedPageBreak/>
        <w:t>theo nhiều hình thức khác nhau như Chiến lược phát triển đô thị thông minh</w:t>
      </w:r>
      <w:r w:rsidRPr="003D5FA9">
        <w:rPr>
          <w:rFonts w:ascii="Times New Roman" w:eastAsia="Times New Roman" w:hAnsi="Times New Roman" w:cs="Times New Roman"/>
          <w:bCs/>
          <w:color w:val="000000" w:themeColor="text1"/>
          <w:sz w:val="28"/>
          <w:szCs w:val="28"/>
          <w:vertAlign w:val="superscript"/>
          <w:lang w:val="en"/>
        </w:rPr>
        <w:footnoteReference w:id="7"/>
      </w:r>
      <w:r w:rsidRPr="003D5FA9">
        <w:rPr>
          <w:rFonts w:ascii="Times New Roman" w:eastAsia="Times New Roman" w:hAnsi="Times New Roman" w:cs="Times New Roman"/>
          <w:bCs/>
          <w:color w:val="000000" w:themeColor="text1"/>
          <w:sz w:val="28"/>
          <w:szCs w:val="28"/>
          <w:lang w:val="en"/>
        </w:rPr>
        <w:t>, Kế hoạch hành động</w:t>
      </w:r>
      <w:r w:rsidRPr="003D5FA9">
        <w:rPr>
          <w:rFonts w:ascii="Times New Roman" w:eastAsia="Times New Roman" w:hAnsi="Times New Roman" w:cs="Times New Roman"/>
          <w:bCs/>
          <w:color w:val="000000" w:themeColor="text1"/>
          <w:sz w:val="28"/>
          <w:szCs w:val="28"/>
          <w:vertAlign w:val="superscript"/>
          <w:lang w:val="en"/>
        </w:rPr>
        <w:footnoteReference w:id="8"/>
      </w:r>
      <w:r w:rsidRPr="003D5FA9">
        <w:rPr>
          <w:rFonts w:ascii="Times New Roman" w:eastAsia="Times New Roman" w:hAnsi="Times New Roman" w:cs="Times New Roman"/>
          <w:bCs/>
          <w:color w:val="000000" w:themeColor="text1"/>
          <w:sz w:val="28"/>
          <w:szCs w:val="28"/>
          <w:lang w:val="en"/>
        </w:rPr>
        <w:t>, Đề án phát triển đô thị thông minh. Trong giai đoạn từ 2018 – 2025, đã có 04/06 thành phố</w:t>
      </w:r>
      <w:r w:rsidRPr="003D5FA9">
        <w:rPr>
          <w:rFonts w:ascii="Times New Roman" w:eastAsia="Times New Roman" w:hAnsi="Times New Roman" w:cs="Times New Roman"/>
          <w:bCs/>
          <w:color w:val="000000" w:themeColor="text1"/>
          <w:sz w:val="28"/>
          <w:szCs w:val="28"/>
          <w:vertAlign w:val="superscript"/>
          <w:lang w:val="en"/>
        </w:rPr>
        <w:footnoteReference w:id="9"/>
      </w:r>
      <w:r w:rsidRPr="003D5FA9">
        <w:rPr>
          <w:rFonts w:ascii="Times New Roman" w:eastAsia="Times New Roman" w:hAnsi="Times New Roman" w:cs="Times New Roman"/>
          <w:bCs/>
          <w:color w:val="000000" w:themeColor="text1"/>
          <w:sz w:val="28"/>
          <w:szCs w:val="28"/>
          <w:lang w:val="en"/>
        </w:rPr>
        <w:t xml:space="preserve"> ban hành Đề án để xác định tổng thể các nhiệm vụ phát triển đô thị thông minh cho phạm vi toàn thành phố và tổ chức triển khai thực hiện. Hiện nay, thực hiện chỉ đạo của Chính phủ, Thủ tướng Chính phủ, các địa phương đang giao cơ quan chuyên môn khẩn trương rà soát, xây dựng đề án phát triển đô thị thông minh giai đoạn 2026 – 2030 để rà soát, điều chỉnh và xác định nội dung đề án phù hợp với mô hình tổ chức chính quyền địa phương 02 cấp, đáp ứng yêu cầu mới do mở rộng địa giới hành chính và không gian phát triển (như trường hợp đã có đề án của Cần Thơ, TP. Hồ Chí Minh, Đà Nẵng),</w:t>
      </w:r>
      <w:r w:rsidRPr="003D5FA9">
        <w:rPr>
          <w:rFonts w:ascii="Times New Roman" w:eastAsia="Times New Roman" w:hAnsi="Times New Roman" w:cs="Times New Roman"/>
          <w:sz w:val="28"/>
          <w:szCs w:val="28"/>
          <w:lang w:val="en"/>
        </w:rPr>
        <w:t xml:space="preserve"> </w:t>
      </w:r>
      <w:r w:rsidRPr="003D5FA9">
        <w:rPr>
          <w:rFonts w:ascii="Times New Roman" w:eastAsia="Times New Roman" w:hAnsi="Times New Roman" w:cs="Times New Roman"/>
          <w:bCs/>
          <w:color w:val="000000" w:themeColor="text1"/>
          <w:sz w:val="28"/>
          <w:szCs w:val="28"/>
          <w:lang w:val="en"/>
        </w:rPr>
        <w:t>đáp ứng cụ thể hơn yêu cầu quy hoạch, quản lý phát triển đô thị và quản trị đô thị (như trường hợp Hải Phòng, Hà Nội) và phù hợp với các chỉ đạo, quy định mới.</w:t>
      </w:r>
    </w:p>
    <w:p w14:paraId="1D7A93AA"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Về kết quả triển khai thực hiện các nội dung phát triển đô thị thông minh: </w:t>
      </w:r>
    </w:p>
    <w:p w14:paraId="027FA027"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Hiện nay, các nhiệm vụ về chuyển đổi số, phát triển đô thị thông minh đã được các thành phố tổ chức triển khai với kết quả đạt được có các mức độ khác nhau. Qua tổng kết báo cáo của các thành phố cho thấy, đã có những kết quả tích cực tại một số địa phương: </w:t>
      </w:r>
    </w:p>
    <w:p w14:paraId="752F9EE7"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Về xây dựng cơ sở dữ liệu nền tảng: Việc triển khai xây dựng cơ sở dữ liệu dùng chung sẽ giúp tích hợp các dữ liệu liên ngành, giúp gắn kết các hoạt động quản lý trong đô thị thông minh của nhiều địa phương. Đà Nẵng đã hoàn thành và đưa vào sử dụng dự án xây dựng cơ sở dữ liệu không gian đô thị và quy hoạch thành phố trên nền GIS; đã hình thành và đưa vào sử dụng thí điểm Kho dữ liệu dùng chung toàn thành phố để thu thập, làm sạch, chuẩn hóa các cơ sở dữ liệu nền và một số cơ sở dữ liệu chuyên ngành. </w:t>
      </w:r>
    </w:p>
    <w:p w14:paraId="3EF0009A"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Về thiết lập Trung tâm điều hành đô thị thông minh được coi là hệ thống cốt lõi của đô thị thông minh. Huế có cách làm bài bản trong xây dựng Trung tâm Giám sát, điều hành đô thị thông minh (Hue IOC) và xây dựng nền tảng Hue-S (Super app) tích hợp toàn diện và cung cấp dịch vụ đô thị thông minh cho cư dân. Đà Nẵng cũng đã đưa vào vận hành trung tâm IOC từ tháng 8/2023 cung cấp 15 nhóm dịch vụ thông minh với 159 dịch vụ giám sát và 52 dịch vụ phân tích, cảnh báo sớm phục vụ chỉ đạo, điều hành, đặc biệt trong tình huống khẩn cấp.</w:t>
      </w:r>
    </w:p>
    <w:p w14:paraId="1853E818"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Về hệ thống thông tin quy hoạch, xây dựng, phát triển đô thị trên nền GIS TP Hồ Chí Minh (khu vực tỉnh Bình Dương cũ) đã đưa vào sử dụng ứng dụng xem </w:t>
      </w:r>
      <w:r w:rsidRPr="003D5FA9">
        <w:rPr>
          <w:rFonts w:ascii="Times New Roman" w:eastAsia="Times New Roman" w:hAnsi="Times New Roman" w:cs="Times New Roman"/>
          <w:bCs/>
          <w:color w:val="000000" w:themeColor="text1"/>
          <w:sz w:val="28"/>
          <w:szCs w:val="28"/>
          <w:lang w:val="en"/>
        </w:rPr>
        <w:lastRenderedPageBreak/>
        <w:t>và tra cứu thông tin quy hoạch xây dựng, hạ tầng kỹ thuật, phản ánh xây dựng, việc quản lý trên nền tảng dữ liệu đồng bộ, kết nối với hệ thống điều hành thông minh (IOC) đã hỗ trợ ra quyết định nhanh chóng cho chính quyền trong điều hành giao thông, chiếu sáng, cấp thoát nước, an ninh trật tự.</w:t>
      </w:r>
    </w:p>
    <w:p w14:paraId="65FB9385"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Về hệ thống giao thông thông minh: nhiều địa phương như Hà Nội, TP Hồ Chí Minh, Hải Phòng đã triển khai hệ thống giao thông thông minh thông qua xây dựng hệ thống cơ sở dữ liệu chuyên ngành, hướng tới giải pháp quản lý hạ tầng giao thông trên nền bản đồ số, triển khai hệ thống camera giám sát giao thông và các cảm biến để theo dõi tình trạng chất lượng kết cấu công trình, phục vụ bảo dưỡng, bảo trì; Hải Phòng phát triển mô hình cảng thông minh thông qua hệ thống quản lý cảng TOS, ứng dụng các nền tảng cảng biển số.</w:t>
      </w:r>
    </w:p>
    <w:p w14:paraId="7F5734FF"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Về quản lý năng lượng, chiếu sáng thông minh: các địa phương triển khai giải pháp tiết kiệm năng lượng và hiện đại hóa quản lý chiếu sáng trong đô thị. Hà Nội đưa vào vận hành Hệ thống quản lý chiếu sáng công cộng toàn thành phố trên nền tảng kỹ thuật số ứng dụng công nghệ thông tin địa lý (GIS), phần mềm Citywork và trang bị các phương tiện cầm tay cho đội ngũ công nhân, nâng cao chất lượng quản lý vận hành, giám sát, báo cáo, giao việc.</w:t>
      </w:r>
    </w:p>
    <w:p w14:paraId="4F99191D" w14:textId="521B3745"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pacing w:val="-2"/>
          <w:sz w:val="28"/>
          <w:szCs w:val="28"/>
          <w:lang w:val="en"/>
        </w:rPr>
      </w:pPr>
      <w:r w:rsidRPr="003D5FA9">
        <w:rPr>
          <w:rFonts w:ascii="Times New Roman" w:eastAsia="Times New Roman" w:hAnsi="Times New Roman" w:cs="Times New Roman"/>
          <w:bCs/>
          <w:color w:val="000000" w:themeColor="text1"/>
          <w:spacing w:val="-2"/>
          <w:sz w:val="28"/>
          <w:szCs w:val="28"/>
          <w:lang w:val="en"/>
        </w:rPr>
        <w:t>+ Về y tế thông minh, giáo dục thông minh, du lịch thông minh: là những dịch vụ đô thị thông minh thiết yếu đã được áp dụng ở tất cả các thành phố trực thuộc Trung ương qua các hình thức như ứng dụng tra cứu thông tin du lịch, sổ y bạ điện tử, thanh toán viện phí online, khám chữa bệnh</w:t>
      </w:r>
      <w:r w:rsidR="00CD7ED9" w:rsidRPr="003D5FA9">
        <w:rPr>
          <w:rFonts w:ascii="Times New Roman" w:eastAsia="Times New Roman" w:hAnsi="Times New Roman" w:cs="Times New Roman"/>
          <w:bCs/>
          <w:color w:val="000000" w:themeColor="text1"/>
          <w:spacing w:val="-2"/>
          <w:sz w:val="28"/>
          <w:szCs w:val="28"/>
          <w:lang w:val="en"/>
        </w:rPr>
        <w:t xml:space="preserve"> từ xa, giáo dục trực tuyến ...</w:t>
      </w:r>
    </w:p>
    <w:p w14:paraId="3F655EC1"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Bên cạnh đó, báo cáo của các địa phương cũng đã nhận định, trong số các nội dung đã được triển khai, các nhiệm vụ phục vụ công tác quy hoạch đô thị và quản lý phát triển đô thị chưa được triển khai đồng bộ so với các nhiệm vụ khác. Việc triển khai xây dựng cơ sở dữ liệu về quy hoạch, xây dựng và phát triển đô thị trên nền GIS đã được triển khai tích cực tại TP. Hồ Chí Minh, Đà Nẵng, Huế nhưng cần đẩy mạnh thực hiện tại các thành phố khác. Ứng dụng hệ thống BIM trong quản lý xây dựng mới đang trong giai đoạn đầu triển khai thực hiện. Còn có sự lúng túng, trông chờ hướng dẫn từ Trung ương cũng như phân định nhiệm vụ về phát triển đô thị thông minh với các nhiệm vụ về chuyển đổi số.</w:t>
      </w:r>
    </w:p>
    <w:p w14:paraId="2EF0D733" w14:textId="56527340"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(5) Về đẩy mạnh hợp tác quốc tế trong phát triển đô thị thông minh:</w:t>
      </w:r>
    </w:p>
    <w:p w14:paraId="687C8522"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Ngày 25/9/2025, Phó Thủ tướng Chính phủ, Tổ trưởng Tổ công tác đã tiếp và trao đổi kinh nghiệm phát triển đô thị thông minh với Chủ tịch Tổ chức Phát triển các nhà khoa học hàng đầu thế giới Thượng Hải, Trung Quốc. </w:t>
      </w:r>
    </w:p>
    <w:p w14:paraId="0C0C5FBE"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xml:space="preserve">- Bộ Xây dựng là cơ quan đầu mối của Tổ công tác cũng đã tham gia nhiều hoạt động hợp tác quốc tế về phát triển đô thị thông minh: Đã tổ chức đoàn công tác nghiên cứu thực tế kinh nghiệm phát triển đô thị thông minh tại Thượng Hải, Trung Quốc (tháng 8/2025) phục vụ xây dựng Nghị định về phát triển đô thị thông minh, đến nay Nghị định đã được ban hành; Tham dự Hội nghị cấp cao lần thứ 7 </w:t>
      </w:r>
      <w:r w:rsidRPr="003D5FA9">
        <w:rPr>
          <w:rFonts w:ascii="Times New Roman" w:eastAsia="Times New Roman" w:hAnsi="Times New Roman" w:cs="Times New Roman"/>
          <w:bCs/>
          <w:color w:val="000000" w:themeColor="text1"/>
          <w:sz w:val="28"/>
          <w:szCs w:val="28"/>
          <w:lang w:val="en"/>
        </w:rPr>
        <w:lastRenderedPageBreak/>
        <w:t>Mạng lưới đô thị thông minh ASEAN – Nhật Bản (AJSCN 7) tại Nhật Bản (tháng 10/2025) để kết nối, chia sẻ và hợp tác phát triển đô thị thông minh giữa Việt Nam với Nhật Bản và các đối tác quốc tế, sau chuyến công tác, Bộ Xây dựng đang trao đổi, làm việc với Bộ Đất đai, Hạ tầng, Giao thông và Du lịch (MLIT) Nhật Bản để hoàn thiện, ký kết Biên bản ghi nhớ thúc đẩy hợp tác trong lĩnh vực đô thị thông minh; Tham gia công tác tại Thụy Sỹ và Áo (tháng 11/2025) để trao đổi, học tập về công nghệ đột phá trong quản trị tài sản công do Cục Kinh tế Liên bang Thụy Sĩ (SECO) tổ chức theo thư mời của Ngân hàng Thế giới.</w:t>
      </w:r>
    </w:p>
    <w:p w14:paraId="51C1AF33"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
          <w:color w:val="000000" w:themeColor="text1"/>
          <w:sz w:val="28"/>
          <w:szCs w:val="28"/>
          <w:lang w:val="en"/>
        </w:rPr>
      </w:pPr>
      <w:r w:rsidRPr="003D5FA9">
        <w:rPr>
          <w:rFonts w:ascii="Times New Roman" w:eastAsia="Times New Roman" w:hAnsi="Times New Roman" w:cs="Times New Roman"/>
          <w:b/>
          <w:color w:val="000000" w:themeColor="text1"/>
          <w:sz w:val="28"/>
          <w:szCs w:val="28"/>
          <w:lang w:val="en"/>
        </w:rPr>
        <w:t>Khó khăn, vướng mắc</w:t>
      </w:r>
    </w:p>
    <w:p w14:paraId="0E6B13B1"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Bộ Tiêu chí về đô thị thông minh được ban hành cuối năm 2024 đã góp phần định hướng rõ ràng hơn, giúp các địa phương định vị trên bản đồ đô thị thông minh, tối ưu hóa nguồn lực, thu hút kêu gọi đầu tư. Do đó, cần sớm điều chỉnh, ban hành mới Bộ tiêu chí đánh giá mức độ trưởng thành đô thị thông minh phù hợp với mô hình tổ chức chính quyền địa phương 02 cấp.</w:t>
      </w:r>
    </w:p>
    <w:p w14:paraId="3CDF30D0"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Các địa phương đang quyết liệt triển khai các chỉ đạo về xây dựng cơ sở dữ liệu theo nguyên tắc “đúng, đủ, sạch, sống, thống nhất, dùng chung”. Tuy nhiên, việc tổ chức thống nhất dùng chung cơ sở dữ liệu còn nhiều khó khăn, liên quan nhiều cơ quan đơn vị.</w:t>
      </w:r>
    </w:p>
    <w:p w14:paraId="5960684A"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Hạ tầng kỹ thuật đô thị chưa hoàn thiện, đồng bộ nên công tác xây dựng cơ sở dữ liệu số hóa phục vụ quy hoạch, quản lý phát triển đô thị gặp nhiều khó khăn trong khi tốc độ đô thị hóa tăng mạnh.</w:t>
      </w:r>
    </w:p>
    <w:p w14:paraId="628DB8B8"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Các địa phương đều nhấn mạnh sự thiếu hụt nguồn nhân lực số, đặc biệt là nguồn nhân lực chuyên ngành như GIS, AI còn hạn chế, cán bộ quản lý và người dân còn thiếu kỹ năng và nhận thức số, nên việc phổ cập, triển khai các ứng dụng có những khó khăn.</w:t>
      </w:r>
    </w:p>
    <w:p w14:paraId="71F462E0" w14:textId="77777777" w:rsidR="00AE2D02" w:rsidRPr="003D5FA9" w:rsidRDefault="00AE2D02" w:rsidP="00AE2D02">
      <w:pPr>
        <w:spacing w:before="120" w:after="120" w:line="259" w:lineRule="auto"/>
        <w:ind w:firstLine="720"/>
        <w:jc w:val="both"/>
        <w:rPr>
          <w:rFonts w:ascii="Times New Roman" w:eastAsia="Times New Roman" w:hAnsi="Times New Roman" w:cs="Times New Roman"/>
          <w:bCs/>
          <w:color w:val="000000" w:themeColor="text1"/>
          <w:sz w:val="28"/>
          <w:szCs w:val="28"/>
          <w:lang w:val="en"/>
        </w:rPr>
      </w:pPr>
      <w:r w:rsidRPr="003D5FA9">
        <w:rPr>
          <w:rFonts w:ascii="Times New Roman" w:eastAsia="Times New Roman" w:hAnsi="Times New Roman" w:cs="Times New Roman"/>
          <w:bCs/>
          <w:color w:val="000000" w:themeColor="text1"/>
          <w:sz w:val="28"/>
          <w:szCs w:val="28"/>
          <w:lang w:val="en"/>
        </w:rPr>
        <w:t>- Nguy cơ mất an toàn, an ninh thông tin do chưa có hệ thống bảo mật đồng bộ, đặc biệt trong bối cảnh chuyển đổi số nhanh chóng.</w:t>
      </w:r>
    </w:p>
    <w:p w14:paraId="33AF5CC0" w14:textId="1CB9BAEA" w:rsidR="0018725C" w:rsidRPr="003D5FA9" w:rsidRDefault="001508B8" w:rsidP="003E240D">
      <w:pPr>
        <w:spacing w:before="120" w:after="0"/>
        <w:ind w:firstLine="720"/>
        <w:jc w:val="both"/>
        <w:rPr>
          <w:rFonts w:ascii="Times New Roman" w:hAnsi="Times New Roman" w:cs="Times New Roman"/>
          <w:b/>
          <w:bCs/>
          <w:sz w:val="28"/>
          <w:szCs w:val="28"/>
        </w:rPr>
      </w:pPr>
      <w:r w:rsidRPr="003D5FA9">
        <w:rPr>
          <w:rFonts w:ascii="Times New Roman" w:hAnsi="Times New Roman" w:cs="Times New Roman"/>
          <w:b/>
          <w:bCs/>
          <w:sz w:val="28"/>
          <w:szCs w:val="28"/>
          <w:lang w:val="vi-VN"/>
        </w:rPr>
        <w:t>4</w:t>
      </w:r>
      <w:r w:rsidR="00D95E10" w:rsidRPr="003D5FA9">
        <w:rPr>
          <w:rFonts w:ascii="Times New Roman" w:hAnsi="Times New Roman" w:cs="Times New Roman"/>
          <w:b/>
          <w:bCs/>
          <w:sz w:val="28"/>
          <w:szCs w:val="28"/>
        </w:rPr>
        <w:t xml:space="preserve">. </w:t>
      </w:r>
      <w:r w:rsidR="00C709B4" w:rsidRPr="003D5FA9">
        <w:rPr>
          <w:rFonts w:ascii="Times New Roman" w:hAnsi="Times New Roman" w:cs="Times New Roman"/>
          <w:b/>
          <w:bCs/>
          <w:sz w:val="28"/>
          <w:szCs w:val="28"/>
        </w:rPr>
        <w:t>Hoạt động</w:t>
      </w:r>
      <w:r w:rsidR="00D95E10" w:rsidRPr="003D5FA9">
        <w:rPr>
          <w:rFonts w:ascii="Times New Roman" w:hAnsi="Times New Roman" w:cs="Times New Roman"/>
          <w:b/>
          <w:bCs/>
          <w:sz w:val="28"/>
          <w:szCs w:val="28"/>
        </w:rPr>
        <w:t xml:space="preserve"> triển khai mô hình 3 nhà</w:t>
      </w:r>
    </w:p>
    <w:p w14:paraId="30EDE2A1" w14:textId="4AB8F7DB" w:rsidR="00A27F3A" w:rsidRPr="003D5FA9" w:rsidRDefault="007415D0" w:rsidP="0018725C">
      <w:pPr>
        <w:spacing w:before="120" w:after="0"/>
        <w:ind w:firstLine="720"/>
        <w:jc w:val="both"/>
        <w:rPr>
          <w:rFonts w:ascii="Times New Roman" w:hAnsi="Times New Roman" w:cs="Times New Roman"/>
          <w:sz w:val="28"/>
          <w:szCs w:val="28"/>
        </w:rPr>
      </w:pPr>
      <w:r w:rsidRPr="003D5FA9">
        <w:rPr>
          <w:rFonts w:ascii="Times New Roman" w:hAnsi="Times New Roman" w:cs="Times New Roman"/>
          <w:sz w:val="28"/>
          <w:szCs w:val="28"/>
        </w:rPr>
        <w:t xml:space="preserve">Lựa chọn 03 cơ sở giáo dục để ký kết hợp tác: Ngày 03/4/2025, Bộ GDĐT đã tổ chức ký kết 03 cơ sở giáo dục: Đại học Quốc gia (ĐHQG) Hà Nội, ĐHQG TPHCM và Đại học Bách khoa (ĐHBK) Hà Nội ký kết chương trình hợp tác triển khai Nghị quyết số 57-NQ/TW của Bộ Chính trị về đột phá phát triển khoa học, công nghệ, đổi mới sáng tạo và chuyển đổi số quốc gia. Nội dung ký kết nhằm phối hợp chặt chẽ trong các lĩnh vực: Đào tạo nhân lực chất lượng cao, đặc biệt bậc sau đại học, tổ chức chương trình đào tạo chung, học tập luân chuyển giữa 3 trường, cấp văn bằng đồng song phương; nghiên cứu và phát triển công nghệ lõi, công nghệ chiến lược như AI, bán dẫn, năng lượng mới...; xây dựng các phòng thí nghiệm liên ngành dùng chung, triển khai mô hình các viện nghiên cứu xuất sắc liên kết; phát </w:t>
      </w:r>
      <w:r w:rsidRPr="003D5FA9">
        <w:rPr>
          <w:rFonts w:ascii="Times New Roman" w:hAnsi="Times New Roman" w:cs="Times New Roman"/>
          <w:sz w:val="28"/>
          <w:szCs w:val="28"/>
        </w:rPr>
        <w:lastRenderedPageBreak/>
        <w:t>triển hệ sinh thái số, đại học số liên thông, thư viện số, dữ liệu nghiên cứu chung; tổ chức hội thảo quốc tế, trao đổi học giả, phát triển tạp chí khoa học chuẩn quốc tế; kết nối doanh nghiệp, hợp tác đào tạo theo đơn đặt hàng, đồng phát triển sản phẩm và thương mại hóa</w:t>
      </w:r>
      <w:r w:rsidR="00A27F3A" w:rsidRPr="003D5FA9">
        <w:rPr>
          <w:rFonts w:ascii="Times New Roman" w:hAnsi="Times New Roman" w:cs="Times New Roman"/>
          <w:sz w:val="28"/>
          <w:szCs w:val="28"/>
        </w:rPr>
        <w:t>.</w:t>
      </w:r>
      <w:r w:rsidR="004F2F63" w:rsidRPr="003D5FA9">
        <w:rPr>
          <w:rFonts w:ascii="Times New Roman" w:hAnsi="Times New Roman" w:cs="Times New Roman"/>
          <w:sz w:val="28"/>
          <w:szCs w:val="28"/>
        </w:rPr>
        <w:t xml:space="preserve"> Tỷ trọng kinh phí từ xã hội chi cho nghiên cứu và phát triển (R&amp;D) đã đạt </w:t>
      </w:r>
      <w:r w:rsidR="004F2F63" w:rsidRPr="003D5FA9">
        <w:rPr>
          <w:rFonts w:ascii="Times New Roman" w:hAnsi="Times New Roman" w:cs="Times New Roman"/>
          <w:b/>
          <w:bCs/>
          <w:sz w:val="28"/>
          <w:szCs w:val="28"/>
        </w:rPr>
        <w:t>67,2%.</w:t>
      </w:r>
      <w:r w:rsidR="00BC2DC0" w:rsidRPr="003D5FA9">
        <w:rPr>
          <w:rFonts w:ascii="Times New Roman" w:hAnsi="Times New Roman" w:cs="Times New Roman"/>
          <w:b/>
          <w:bCs/>
          <w:sz w:val="28"/>
          <w:szCs w:val="28"/>
        </w:rPr>
        <w:t xml:space="preserve"> </w:t>
      </w:r>
      <w:r w:rsidR="00BC2DC0" w:rsidRPr="003D5FA9">
        <w:rPr>
          <w:rFonts w:ascii="Times New Roman" w:hAnsi="Times New Roman" w:cs="Times New Roman"/>
          <w:sz w:val="28"/>
          <w:szCs w:val="28"/>
        </w:rPr>
        <w:t xml:space="preserve">Năng lực nghiên cứu của khối hàn lâm đã tiệm cận chuẩn mực quốc tế, tạo niềm tin để doanh nghiệp đặt hàng. Năm 2025, Việt Nam có tới </w:t>
      </w:r>
      <w:r w:rsidR="00BC2DC0" w:rsidRPr="003D5FA9">
        <w:rPr>
          <w:rFonts w:ascii="Times New Roman" w:hAnsi="Times New Roman" w:cs="Times New Roman"/>
          <w:b/>
          <w:bCs/>
          <w:sz w:val="28"/>
          <w:szCs w:val="28"/>
        </w:rPr>
        <w:t>53 tổ chức</w:t>
      </w:r>
      <w:r w:rsidR="00BC2DC0" w:rsidRPr="003D5FA9">
        <w:rPr>
          <w:rFonts w:ascii="Times New Roman" w:hAnsi="Times New Roman" w:cs="Times New Roman"/>
          <w:sz w:val="28"/>
          <w:szCs w:val="28"/>
        </w:rPr>
        <w:t xml:space="preserve"> khoa học công nghệ được xếp hạng khu vực và thế giới.</w:t>
      </w:r>
    </w:p>
    <w:p w14:paraId="3A357815" w14:textId="77777777" w:rsidR="000A15E8" w:rsidRPr="003D5FA9" w:rsidRDefault="000A15E8" w:rsidP="000A15E8">
      <w:pPr>
        <w:spacing w:before="120" w:after="120"/>
        <w:ind w:firstLine="720"/>
        <w:jc w:val="both"/>
        <w:rPr>
          <w:rFonts w:ascii="Times New Roman" w:eastAsia="Times New Roman" w:hAnsi="Times New Roman" w:cs="Times New Roman"/>
          <w:sz w:val="28"/>
          <w:szCs w:val="28"/>
        </w:rPr>
      </w:pPr>
      <w:r w:rsidRPr="003D5FA9">
        <w:rPr>
          <w:rFonts w:ascii="Times New Roman" w:eastAsia="Times New Roman" w:hAnsi="Times New Roman" w:cs="Times New Roman"/>
          <w:sz w:val="28"/>
          <w:szCs w:val="28"/>
        </w:rPr>
        <w:t>Chỉ đạo các cơ sở giáo dục đại học triển khai mô hình 3 Nhà: Cả bốn đại học lớn trực thuộc Bộ GDĐT đều đã thành lập Ban Chỉ đạo, Tổ giúp việc và Tổ chuyên gia triển khai thực hiện Nghị quyết số 57-NQ/TW, đồng thời tích hợp nội dung này vào kế hoạch đổi mới sáng tạo giai đoạn 2025–2030 của đơn vị. Trong đó, Đại học Quốc gia Hà Nội và Đại học Quốc gia Thành phố Hồ Chí Minh, Đại học Đà Nẵng đã chủ động ban hành các quyết định và kế hoạch hành động riêng, gắn kết chặt chẽ giữa các lĩnh vực khoa học - công nghệ, đào tạo và chuyển đổi số, qua đó tạo nền tảng để hình thành hệ sinh thái hợp tác ba nhà bền vững, thúc đẩy gắn kết giữa nghiên cứu - đào tạo - sản xuất và phát triển nguồn nhân lực chất lượng cao phục vụ phát triển kinh tế – xã hội.</w:t>
      </w:r>
    </w:p>
    <w:p w14:paraId="304C88EF" w14:textId="77777777" w:rsidR="000A15E8" w:rsidRPr="003D5FA9" w:rsidRDefault="000A15E8" w:rsidP="000A15E8">
      <w:pPr>
        <w:spacing w:before="120" w:after="120"/>
        <w:ind w:firstLine="720"/>
        <w:jc w:val="both"/>
        <w:rPr>
          <w:rFonts w:ascii="Times New Roman" w:eastAsia="Times New Roman" w:hAnsi="Times New Roman" w:cs="Times New Roman"/>
          <w:sz w:val="28"/>
          <w:szCs w:val="28"/>
        </w:rPr>
      </w:pPr>
      <w:r w:rsidRPr="003D5FA9">
        <w:rPr>
          <w:rFonts w:ascii="Times New Roman" w:eastAsia="Times New Roman" w:hAnsi="Times New Roman" w:cs="Times New Roman"/>
          <w:sz w:val="28"/>
          <w:szCs w:val="28"/>
        </w:rPr>
        <w:t>Xây dựng báo cáo chuyên đề: Bộ GDĐT đã xây dựng báo cáo chuyên đề gửi Ban chỉ đạo Trung ương về: Báo cáo chuyên đề về Mô hình hợp tác 3 Nhà kèm theo Công văn số 2534/BGDĐT-KHCNTT ngày 22/5/2025.</w:t>
      </w:r>
    </w:p>
    <w:p w14:paraId="032E015C" w14:textId="77777777" w:rsidR="000A15E8" w:rsidRPr="003D5FA9" w:rsidRDefault="000A15E8" w:rsidP="000A15E8">
      <w:pPr>
        <w:spacing w:before="120" w:after="120"/>
        <w:ind w:firstLine="720"/>
        <w:jc w:val="both"/>
        <w:rPr>
          <w:rFonts w:ascii="Times New Roman" w:eastAsia="Times New Roman" w:hAnsi="Times New Roman" w:cs="Times New Roman"/>
          <w:sz w:val="28"/>
          <w:szCs w:val="28"/>
        </w:rPr>
      </w:pPr>
      <w:r w:rsidRPr="003D5FA9">
        <w:rPr>
          <w:rFonts w:ascii="Times New Roman" w:eastAsia="Times New Roman" w:hAnsi="Times New Roman" w:cs="Times New Roman"/>
          <w:sz w:val="28"/>
          <w:szCs w:val="28"/>
        </w:rPr>
        <w:t>Xây dựng báo cáo Chuyên đề "Mô hình hợp tác 3 Nhà và hệ sinh thái đổi mới sáng tạo. Báo cáo nêu rõ hiện trạng về triển khai, các khó khăn vướng mắc cơ chế chính sách, nguồn lực, tài chính, kết nối cung cầu từ đó đề xuất các giải pháp, kiến nghị (Tại Công văn số 5975/BGDĐT-KHCNTT ngày 26/9/2025 gửi Văn phòng Trung ương Đảng).</w:t>
      </w:r>
    </w:p>
    <w:p w14:paraId="16F6D34F" w14:textId="41294D32" w:rsidR="000A15E8" w:rsidRPr="003D5FA9" w:rsidRDefault="000A15E8" w:rsidP="000A15E8">
      <w:pPr>
        <w:spacing w:before="120" w:after="120"/>
        <w:ind w:firstLine="720"/>
        <w:jc w:val="both"/>
        <w:rPr>
          <w:rFonts w:ascii="Times New Roman" w:eastAsia="Times New Roman" w:hAnsi="Times New Roman" w:cs="Times New Roman"/>
          <w:sz w:val="28"/>
          <w:szCs w:val="28"/>
        </w:rPr>
      </w:pPr>
      <w:r w:rsidRPr="003D5FA9">
        <w:rPr>
          <w:rFonts w:ascii="Times New Roman" w:eastAsia="Times New Roman" w:hAnsi="Times New Roman" w:cs="Times New Roman"/>
          <w:sz w:val="28"/>
          <w:szCs w:val="28"/>
        </w:rPr>
        <w:t xml:space="preserve">Cập nhật, rà soát sửa đổi các Văn bản quy phạm pháp luật có liên quan: Bộ GDĐT đã tích cực phối hợp với Bộ KHCN, Bộ TC trong quá trình soạn thảo các Luật có liên quan. Đồng thời, bổ sung các quy định về hợp tác 3 Nhà vào các </w:t>
      </w:r>
      <w:r w:rsidR="00825503" w:rsidRPr="003D5FA9">
        <w:rPr>
          <w:rFonts w:ascii="Times New Roman" w:eastAsia="Times New Roman" w:hAnsi="Times New Roman" w:cs="Times New Roman"/>
          <w:sz w:val="28"/>
          <w:szCs w:val="28"/>
        </w:rPr>
        <w:t xml:space="preserve">dự án </w:t>
      </w:r>
      <w:r w:rsidRPr="003D5FA9">
        <w:rPr>
          <w:rFonts w:ascii="Times New Roman" w:eastAsia="Times New Roman" w:hAnsi="Times New Roman" w:cs="Times New Roman"/>
          <w:sz w:val="28"/>
          <w:szCs w:val="28"/>
        </w:rPr>
        <w:t>Luật sửa đổi (GDĐH, GDNN), Thay thế Nghị định Nghị định số 109/2022/NĐ-CP quy định hoạt động khoa học và công nghệ trong các cơ sở giáo dục đại học.</w:t>
      </w:r>
    </w:p>
    <w:p w14:paraId="1615299D"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xml:space="preserve">- Bộ Tài chính đã trình Chính phủ ban hành Nghị định số 180/2025/NĐ-CP ngày 01/7/2025 về cơ chế, chính sách hợp tác công tư trong lĩnh vực khoa học, công nghệ, đổi mới sáng tạo và chuyển đổi số, trong đó đã quy định hình thức hợp tác giữa Nhà nước, tổ chức khoa học công nghệ và doanh nghiệp. </w:t>
      </w:r>
    </w:p>
    <w:p w14:paraId="44EA2116"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xml:space="preserve">-  Điều 23 Nghị định số 180/2025/NĐ-CP ngày 01/7/2025 của Chính phủ quy định cơ chế, chính sách hợp tác công tư trong lĩnh vực phát triển khoa học, công nghệ, đổi mới sáng tạo và chuyển đổi số đã quy định hình thức hợp tác giữa </w:t>
      </w:r>
      <w:r w:rsidRPr="003D5FA9">
        <w:lastRenderedPageBreak/>
        <w:t xml:space="preserve">Nhà nước, tổ chức khoa học công nghệ và doanh nghiệp. Trong đó, trách nhiệm của các bên được quy định cụ thể, gồm: </w:t>
      </w:r>
    </w:p>
    <w:p w14:paraId="6504138B"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Trách nhiệm của bộ, cơ quan trung ương, địa phương: Xác định mục tiêu, định hướng, cơ chế hợp tác ba bên phù hợp; đặt hàng hoặc tài trợ các nhiệm vụ khoa học công nghệ và đổi mới sáng tạo; công bố bài nhiệm vụ khoa học, công nghệ đổi mới sáng tạo và chuyển đổi số; hỗ trợ đất đai, hạ tầng sẵn có hoặc đầu tư xây dựng cơ sở hạ tầng phục vụ nghiên cứu - phát triển (phòng thí nghiệm trọng điểm, trung tâm nghiên cứu phát triển dùng chung, trung tâm đổi mới sáng tạo và hạ tầng khác);</w:t>
      </w:r>
    </w:p>
    <w:p w14:paraId="686EB16E"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Trách nhiệm của tổ chức khoa học công nghệ: Tổ chức các hoạt động nghiên cứu khoa học, phát triển công nghệ, sản phẩm, dịch vụ; nghiên cứu giải quyết bài toán lớn về khoa học, công nghệ, đổi mới sáng tạo và chuyển đổi số theo yêu cầu của bộ, cơ quan trung ương, địa phương hoặc theo thỏa thuận với doanh nghiệp; đào tạo nhân lực chất lượng cao cho doanh nghiệp; vận hành cơ sở hạ tầng phục vụ nghiên cứu phát triển; cung cấp tri thức, dữ liệu, nhân lực theo thỏa thuận với bộ, cơ quan trung ương, địa phương;</w:t>
      </w:r>
    </w:p>
    <w:p w14:paraId="7999C56A"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Trách nhiệm của doanh nghiệp: Cung cấp hạ tầng sẵn có hoặc đầu tư xây dựng cơ sở hạ tầng phục vụ nghiên cứu phát triển; cấp kinh phí cho hoạt động nghiên cứu - phát triển; tổ chức nghiên cứu hoặc đề xuất bài toán lớn về khoa học, công nghệ, đổi mới sáng tạo và chuyển đổi số; đào tạo, thử nghiệm, điều hành và thực hiện hoạt động sản xuất, kinh doanh; ứng dụng, thương mại hóa kết quả nghiên cứu và phát triển sản phẩm, cung cấp dịch vụ ra thị trường.</w:t>
      </w:r>
    </w:p>
    <w:p w14:paraId="1B376866"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Trên cơ sở tổng hợp khó khăn, vướng mắc của các Bộ, ngành, địa phương, viện nghiên cứu, trường đại học và doanh nghiệp, Nghị định 180/2025/NĐ-CP đã quy định tháo gỡ các nội dung liên quan đến định giá tài sản công khi liên doanh, liên kết.</w:t>
      </w:r>
    </w:p>
    <w:p w14:paraId="37ACD251"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xml:space="preserve">Theo quy định tại khoản 10 Điều 20 Nghị định 180/2025/NĐ-CP, đối với hình thức liên doanh, liên kết không thành lập pháp nhân mới hoặc thành lập pháp nhân mới mà các tài sản được góp do các bên tham gia liên doanh, liên kết cùng kiểm soát việc quản lý, sử dụng thì không phải xác định giá trị tài sản; trường hợp hình thành pháp nhân mới mà pháp nhân mới có trách nhiệm quản lý, sử dụng tài sản, người đứng đầu đơn vị sự nghiệp công lập được tự quyết định giá trị của tài sản khi liên doanh, liên kết hoặc thuê doanh nghiệp thẩm định giá hoặc thành lập Hội đồng thẩm định giá. </w:t>
      </w:r>
    </w:p>
    <w:p w14:paraId="7C0D4F47"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xml:space="preserve">- Ngoài các quy định cụ thể về hình thức hợp tác ba nhà và hình thức liên doanh, liên kết trong lĩnh vực khoa học, công nghệ, đổi mới sáng tạo và chyển đổi số, Nghị định 180/2025/NĐ-CP còn quy định về quyền sở hữu trí tuệ, quyền sở hữu dữ liệu và phân chia lợi nhuận trong hợp tác công tư. Đồng thời, Nghị định này </w:t>
      </w:r>
      <w:r w:rsidRPr="003D5FA9">
        <w:lastRenderedPageBreak/>
        <w:t xml:space="preserve">cũng quy định cụ thể chính sách ưu đãi, hỗ trợ của Nhà nước áp dụng cho hợp tác công tư để đầu tư nghiên cứu khoa học, phát triển công nghệ, đổi mới sáng tạo và chuyển đổi số. </w:t>
      </w:r>
    </w:p>
    <w:p w14:paraId="25A75F8A"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Bộ Tài chính cũng đã tổ chức hội thảo với một số Bộ, ngành, địa phương, tập đoàn, doanh nghiệp công nghệ để trao đổi, làm rõ những nội dung, quy định còn có ý kiến khác nhau, những nội dung cần hướng dẫn thêm. Tích cực tuyên truyền quy định mới về hợp tác công tư trong lĩnh vực KHCN, ĐMST và CĐS thông qua các chương trình họp báo, diễn đàn, toạ đàm trên VTV. Hiện nay Bộ Tài chính đang trao đổi với Bộ GDĐT, Bộ KHCN để xây dựng kế hoạch thúc đẩy hợp tác 3 nhà trong thời gian tới.</w:t>
      </w:r>
    </w:p>
    <w:p w14:paraId="2108F7A4" w14:textId="77777777" w:rsidR="000A15E8" w:rsidRPr="003D5FA9" w:rsidRDefault="000A15E8"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Bộ Tài chính đã làm việc trực tiếp với các đơn vị của Bộ Công an, Bộ KHCN, Hiệp hội dữ liệu, Đại học Bách khoa Hà nội, các tập đoàn FPT, CMC để xây dựng các đề xuất dự án hợp tác công tư trong lĩnh vực khoa học công nghệ, đổi mới sáng tạo, chuyển đổi số nói chung và hợp tác 3 nhà nói riêng.</w:t>
      </w:r>
    </w:p>
    <w:p w14:paraId="11431988" w14:textId="77777777" w:rsidR="009056D9" w:rsidRPr="003D5FA9" w:rsidRDefault="009056D9"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Về Tổ chức các diễn đàn chính sách liên quan đến Mô hình 3 Nhà:</w:t>
      </w:r>
    </w:p>
    <w:p w14:paraId="56372CE1" w14:textId="77777777" w:rsidR="009056D9" w:rsidRPr="003D5FA9" w:rsidRDefault="009056D9"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 xml:space="preserve">Tổ chức 04 Hội thảo: Ngày 14/6/2025, tại Hà Nội, Bộ Giáo dục và Đào tạo tổ chức Hội nghị triển khai các Đề án về phát triển nguồn nhân lực và hợp tác "3 nhà": Nhà nước, nhà trường và doanh nghiệp. Tham dự có hơn 250 cơ sở giáo dục đại học cùng khoảng 30 doanh nghiệp tham gia theo hình thức trực tiếp kết hợp trực tuyến. Ngày 01/8/2025 và 08/8/2025, Bộ Giáo dục và Đào tạo tổ chức các Hội nghị công bố 13 mạng lưới trung tâm đào tạo xuất sắc và tài năng về công nghệ 4.0 đến năm 2030 theo Quyết định số 374/QĐ-TTg ngày 19/02/2025 của Thủ tướng Chính phủ, 13 cơ sở giáo dục đại học chủ trì và 240 thành viên là cơ sở giáo dục đại học, doanh nghiệp trong và ngoài nước tham gia các lĩnh vực như trí tuệ nhân tạo, công nghệ bán dẫn, công nghệ sinh học, công nghệ giao thông và hạ tầng tiên tiến, thông minh, vật liệu mới và công nghệ xây dựng. Ngày 25/8/2025, tại Đà Nẵng, Bộ GDĐT, Chính phủ đã chỉ đạo Bộ Ngoại giaovà thương mại Úc, Đại học Đà Nẵng tổ chức Diễn đàn Hợp tác đại học - doanh nghiệp với chủ đề “Hợp tác 3 nhà trong đào tạo và nghiên cứu phát triển công nghệ cao, công nghệ chiến lược”: Tại Diễn đàn đã có 21 ký kết hợp tác giữa các đại học, trường đại học gồm Đại học Đà Nẵng, Đại học Bách khoa Hà Nội, Đại học Duy Tân, Trường Đại học Bách khoa (Đại học Đà Nẵng), Trường Đại học Sư phạm Kỹ thuật Thành phố Hồ Chí Minh, Trường Đại học Sư phạm Kỹ thuật (Đại học Đà Nẵng)… với nhiều tập đoàn, doanh nghiệp hoạt động trong các lĩnh vực công nghệ cao, công nghệ chiến lược như: Tổng Công ty Đường sắt Việt Nam, Hòa Phát, Thaco, Navigos Group, CT Group, Mitsubishi Electric, Lọc hóa dầu Bình Sơn, Panasonic. Nội dung ký kết tập trung hợp tác trong đào tạo và nghiên cứu các lĩnh vực chiến lược, ưu tiên như: Trí tuệ nhân tạo; blockchain; dữ liệu lớn, điện toán đám mây, lượng tử; mạng di động thế hệ sau (5G/6G); công nghệ robot và tự động hóa; chip bán dẫn; công nghệ năng lượng, vật </w:t>
      </w:r>
      <w:r w:rsidRPr="003D5FA9">
        <w:lastRenderedPageBreak/>
        <w:t>liệu tiên tiến; công nghệ hàng không, vũ trụ; công nghệ đất hiếm, đại dương, lòng đất và an ninh mạng…</w:t>
      </w:r>
    </w:p>
    <w:p w14:paraId="1DC18F9A" w14:textId="77777777" w:rsidR="009056D9" w:rsidRPr="003D5FA9" w:rsidRDefault="009056D9"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Về hợp tác, ký kết</w:t>
      </w:r>
    </w:p>
    <w:p w14:paraId="25AED4F3" w14:textId="77777777" w:rsidR="009056D9" w:rsidRPr="003D5FA9" w:rsidRDefault="009056D9"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Các hoạt động hợp tác trong thời gian qua đã đạt nhiều kết quả cụ thể và nổi bật. Đại học Quốc gia TP. Hồ Chí Minh dẫn đầu trong việc ký kết 10 thỏa thuận hợp tác chiến lược với các doanh nghiệp lớn như ACB, Coteccons, VNG, Thành Thành Công, Suntory PepsiCo, Nestlé, Tetra Pak…; đồng thời triển khai 05 đề tài nghiên cứu ứng dụng và 06 nhóm nghiên cứu về trí tuệ nhân tạo với tổng giá trị gần 40 tỷ đồng. Đại học Quốc gia Hà Nội duy trì mạng lưới hợp tác sâu rộng với 138 đối tác doanh nghiệp, thực hiện 31 hợp đồng tư vấn chính sách, có hơn 1.900 công bố quốc tế và 189 đăng ký sở hữu trí tuệ, thể hiện rõ sức lan tỏa của hoạt động khoa học – công nghệ gắn với doanh nghiệp. Đại học Bách khoa Hà Nội tập trung đầu tư phát triển các phòng thí nghiệm về Edge AI, bán dẫn và trí tuệ nhân tạo trong thiết kế vi mạch với tổng kinh phí hơn 350 tỷ đồng, đồng thời hợp tác với các tập đoàn lớn như Viettel, PVN, FPT, EVN, CMC trong các dự án công nghệ chiến lược. Đại học Đà Nẵng mở rộng hợp tác với 13 tập đoàn trong lĩnh vực công nghệ chiến lược và 11 doanh nghiệp trong lĩnh vực công nghệ thông tin – truyền thông, đồng thời phát triển các cụm nghiên cứu về AI, robot, năng lượng xanh, y – sinh học và đô thị thông minh, góp phần hình thành hệ sinh thái hợp tác “Ba nhà” đa ngành, gắn kết chặt chẽ giữa nghiên cứu, đào tạo và sản xuất.</w:t>
      </w:r>
    </w:p>
    <w:p w14:paraId="15DA210F" w14:textId="3F2C2520" w:rsidR="009056D9" w:rsidRPr="003D5FA9" w:rsidRDefault="009056D9" w:rsidP="009056D9">
      <w:pPr>
        <w:pStyle w:val="Normal1"/>
        <w:widowControl w:val="0"/>
        <w:pBdr>
          <w:top w:val="dotted" w:sz="4" w:space="0" w:color="FFFFFF"/>
          <w:left w:val="dotted" w:sz="4" w:space="0" w:color="FFFFFF"/>
          <w:bottom w:val="dotted" w:sz="4" w:space="6" w:color="FFFFFF"/>
          <w:right w:val="dotted" w:sz="4" w:space="0" w:color="FFFFFF"/>
        </w:pBdr>
        <w:shd w:val="clear" w:color="auto" w:fill="FFFFFF"/>
        <w:spacing w:after="120" w:line="264" w:lineRule="auto"/>
        <w:ind w:firstLine="720"/>
        <w:jc w:val="both"/>
      </w:pPr>
      <w:r w:rsidRPr="003D5FA9">
        <w:t>Các đại học trọng điểm quốc gia đã chủ động triển khai mạnh mẽ mô hình “Ba nhà” thông qua việc hình thành và phát triển các Trung tâm Đổi mới sáng tạo (Innovation Hub) gắn với khu công nghệ cao tại địa phương, tạo nền tảng kết nối chặt chẽ giữa nghiên cứu – đào tạo – doanh nghiệp. Cụ thể, ĐHQG TP. Hồ Chí Minh đang vận hành “VNU-HCM Innovation Hub” quy mô vùng theo mô hình hợp tác công – tư (PPP), định hướng trở thành đầu mối kết nối doanh nghiệp và các trung tâm nghiên cứu trong khu vực phía Nam. Trường Đại học Bách khoa Hà Nội đang triển khai “Hanoi Innovation Hub” phối hợp cùng Tập đoàn CMC và các tập đoàn nhà nước lớn nhằm thúc đẩy nghiên cứu ứng dụng và thương mại hóa công nghệ. Đại học Đà Nẵng phát triển “Trung tâm Đổi mới sáng tạo Đà Nẵng”, gắn kết chặt chẽ với khu công nghệ cao và đô thị thông minh của thành phố, hướng đến hình thành hệ sinh thái đổi mới sáng tạo vùng miền Trung. Các mô hình này góp phần quan trọng trong việc hiện thực hóa cơ chế hợp tác “Ba nhà”, tạo môi trường thuận lợi để chuyển giao công nghệ, thương mại hóa kết quả nghiên cứu và phát triển nguồn nhân lực chất lượng cao phục vụ phát triển kinh tế – xã hội.</w:t>
      </w:r>
    </w:p>
    <w:p w14:paraId="784CDF83" w14:textId="0E200B0D" w:rsidR="0018725C" w:rsidRPr="003D5FA9" w:rsidRDefault="008C0CF8" w:rsidP="0018725C">
      <w:pPr>
        <w:spacing w:before="120" w:after="0"/>
        <w:ind w:firstLine="720"/>
        <w:jc w:val="both"/>
        <w:rPr>
          <w:rFonts w:ascii="Times New Roman" w:hAnsi="Times New Roman" w:cs="Times New Roman"/>
          <w:b/>
          <w:bCs/>
          <w:sz w:val="28"/>
          <w:szCs w:val="28"/>
        </w:rPr>
      </w:pPr>
      <w:r w:rsidRPr="003D5FA9">
        <w:rPr>
          <w:rFonts w:ascii="Times New Roman" w:hAnsi="Times New Roman" w:cs="Times New Roman"/>
          <w:b/>
          <w:bCs/>
          <w:sz w:val="28"/>
          <w:szCs w:val="28"/>
          <w:lang w:val="vi-VN"/>
        </w:rPr>
        <w:t>5</w:t>
      </w:r>
      <w:r w:rsidR="0018725C" w:rsidRPr="003D5FA9">
        <w:rPr>
          <w:rFonts w:ascii="Times New Roman" w:hAnsi="Times New Roman" w:cs="Times New Roman"/>
          <w:b/>
          <w:bCs/>
          <w:sz w:val="28"/>
          <w:szCs w:val="28"/>
        </w:rPr>
        <w:t xml:space="preserve">. </w:t>
      </w:r>
      <w:r w:rsidR="00C709B4" w:rsidRPr="003D5FA9">
        <w:rPr>
          <w:rFonts w:ascii="Times New Roman" w:hAnsi="Times New Roman" w:cs="Times New Roman"/>
          <w:b/>
          <w:bCs/>
          <w:sz w:val="28"/>
          <w:szCs w:val="28"/>
        </w:rPr>
        <w:t>Hoạt động h</w:t>
      </w:r>
      <w:r w:rsidR="0018725C" w:rsidRPr="003D5FA9">
        <w:rPr>
          <w:rFonts w:ascii="Times New Roman" w:hAnsi="Times New Roman" w:cs="Times New Roman"/>
          <w:b/>
          <w:bCs/>
          <w:sz w:val="28"/>
          <w:szCs w:val="28"/>
        </w:rPr>
        <w:t>ợp tác quốc tế về KH, CN, ĐMST và CĐS</w:t>
      </w:r>
    </w:p>
    <w:p w14:paraId="2E44D528"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vi-VN"/>
        </w:rPr>
      </w:pPr>
      <w:r w:rsidRPr="003D5FA9">
        <w:rPr>
          <w:rFonts w:ascii="Times New Roman" w:eastAsia="Times New Roman" w:hAnsi="Times New Roman" w:cs="Times New Roman"/>
          <w:bCs/>
          <w:sz w:val="28"/>
          <w:szCs w:val="28"/>
          <w:lang w:val="vi-VN"/>
        </w:rPr>
        <w:t xml:space="preserve">Trong năm 2025, Chính phủ đã chỉ đạo Bộ Ngoại giao đã tích cực thúc đẩy hợp tác quốc tế về khoa học, công nghệ, đổi mới sáng tạo và chuyển đổi số. Nổi bật là thúc đẩy nội hàm hợp tác về khoa học, công nghệ trong quan hệ với các đối tác; </w:t>
      </w:r>
      <w:bookmarkStart w:id="2" w:name="_Hlk216430148"/>
      <w:r w:rsidRPr="003D5FA9">
        <w:rPr>
          <w:rFonts w:ascii="Times New Roman" w:eastAsia="Times New Roman" w:hAnsi="Times New Roman" w:cs="Times New Roman"/>
          <w:bCs/>
          <w:sz w:val="28"/>
          <w:szCs w:val="28"/>
          <w:lang w:val="vi-VN"/>
        </w:rPr>
        <w:lastRenderedPageBreak/>
        <w:t xml:space="preserve">đưa hợp tác khoa học, công nghệ trở thành một trụ cột trong quan hệ với các đối tác, đặc biệt là các đối tác lớn như Nhật Bản, Hàn Quốc, Trung Quốc, Pháp, Anh…. </w:t>
      </w:r>
      <w:bookmarkEnd w:id="2"/>
      <w:r w:rsidRPr="003D5FA9">
        <w:rPr>
          <w:rFonts w:ascii="Times New Roman" w:eastAsia="Times New Roman" w:hAnsi="Times New Roman" w:cs="Times New Roman"/>
          <w:bCs/>
          <w:sz w:val="28"/>
          <w:szCs w:val="28"/>
          <w:lang w:val="vi-VN"/>
        </w:rPr>
        <w:t>Trong đó, đẩy mạnh tận dụng hiệu quả các hoạt động đối ngoại của Lãnh đạo cấp cao. Ngoài ra, Chính phủ đã chỉ đạo Bộ Ngoại giaophối hợp chặt chẽ với các cơ quan liên quan để thúc đẩy triển khai các thỏa thuận, cam kết, đạt nhiều kết quả thực chất. Trong năm 2025, ta đã ký kết hơn 70 thỏa thuận hợp tác cấp Chính phủ, bộ ngành và hợp tác giữa các doanh nghiệp, viện trường địa phương trong các chuyến công tác của Lãnh đạo Cấp cao. Nổi lên một số kết quả đáng chú ý như sau:</w:t>
      </w:r>
    </w:p>
    <w:p w14:paraId="21B23600" w14:textId="58565C1E" w:rsidR="002A7701" w:rsidRPr="003D5FA9" w:rsidRDefault="00E82664" w:rsidP="002A7701">
      <w:pPr>
        <w:widowControl w:val="0"/>
        <w:spacing w:before="120" w:after="120" w:line="240" w:lineRule="auto"/>
        <w:ind w:firstLine="567"/>
        <w:jc w:val="both"/>
        <w:rPr>
          <w:rFonts w:ascii="Times New Roman" w:eastAsia="Times New Roman" w:hAnsi="Times New Roman" w:cs="Times New Roman"/>
          <w:b/>
          <w:iCs/>
          <w:sz w:val="28"/>
          <w:szCs w:val="28"/>
          <w:lang w:val="vi-VN"/>
        </w:rPr>
      </w:pPr>
      <w:r w:rsidRPr="003D5FA9">
        <w:rPr>
          <w:rFonts w:ascii="Times New Roman" w:eastAsia="Times New Roman" w:hAnsi="Times New Roman" w:cs="Times New Roman"/>
          <w:sz w:val="28"/>
          <w:szCs w:val="28"/>
        </w:rPr>
        <w:t>(</w:t>
      </w:r>
      <w:r w:rsidR="002A7701" w:rsidRPr="003D5FA9">
        <w:rPr>
          <w:rFonts w:ascii="Times New Roman" w:eastAsia="Times New Roman" w:hAnsi="Times New Roman" w:cs="Times New Roman"/>
          <w:sz w:val="28"/>
          <w:szCs w:val="28"/>
          <w:lang w:val="vi-VN"/>
        </w:rPr>
        <w:t>1</w:t>
      </w:r>
      <w:r w:rsidRPr="003D5FA9">
        <w:rPr>
          <w:rFonts w:ascii="Times New Roman" w:eastAsia="Times New Roman" w:hAnsi="Times New Roman" w:cs="Times New Roman"/>
          <w:sz w:val="28"/>
          <w:szCs w:val="28"/>
        </w:rPr>
        <w:t>)</w:t>
      </w:r>
      <w:r w:rsidR="002A7701" w:rsidRPr="003D5FA9">
        <w:rPr>
          <w:rFonts w:ascii="Times New Roman" w:eastAsia="Times New Roman" w:hAnsi="Times New Roman" w:cs="Times New Roman"/>
          <w:sz w:val="28"/>
          <w:szCs w:val="28"/>
          <w:lang w:val="vi-VN"/>
        </w:rPr>
        <w:t xml:space="preserve">. Thúc đẩy và triển </w:t>
      </w:r>
      <w:r w:rsidR="002A7701" w:rsidRPr="003D5FA9">
        <w:rPr>
          <w:rFonts w:ascii="Times New Roman" w:eastAsia="Times New Roman" w:hAnsi="Times New Roman" w:cs="Times New Roman"/>
          <w:iCs/>
          <w:sz w:val="28"/>
          <w:szCs w:val="28"/>
          <w:lang w:val="vi-VN"/>
        </w:rPr>
        <w:t>thỏa thuận, cam kết hợp tác với hầu hết các khu vực</w:t>
      </w:r>
      <w:r w:rsidR="002A7701" w:rsidRPr="003D5FA9">
        <w:rPr>
          <w:rFonts w:ascii="Times New Roman" w:eastAsia="Times New Roman" w:hAnsi="Times New Roman" w:cs="Times New Roman"/>
          <w:b/>
          <w:iCs/>
          <w:sz w:val="28"/>
          <w:szCs w:val="28"/>
          <w:lang w:val="vi-VN"/>
        </w:rPr>
        <w:t xml:space="preserve"> trên thế giới, nhất là những trung tâm khoa học, công nghệ toàn cầu.</w:t>
      </w:r>
    </w:p>
    <w:p w14:paraId="4CCE6901"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i/>
          <w:iCs/>
          <w:sz w:val="28"/>
          <w:szCs w:val="28"/>
          <w:lang w:val="vi-VN"/>
        </w:rPr>
      </w:pPr>
      <w:r w:rsidRPr="003D5FA9">
        <w:rPr>
          <w:rFonts w:ascii="Times New Roman" w:eastAsia="Times New Roman" w:hAnsi="Times New Roman" w:cs="Times New Roman"/>
          <w:i/>
          <w:iCs/>
          <w:sz w:val="28"/>
          <w:szCs w:val="28"/>
          <w:lang w:val="vi-VN"/>
        </w:rPr>
        <w:t>a) Hợp tác với các nước Đông Bắc Á:</w:t>
      </w:r>
    </w:p>
    <w:p w14:paraId="259F1E63"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vi-VN"/>
        </w:rPr>
      </w:pPr>
      <w:r w:rsidRPr="003D5FA9">
        <w:rPr>
          <w:rFonts w:ascii="Times New Roman" w:eastAsia="Times New Roman" w:hAnsi="Times New Roman" w:cs="Times New Roman"/>
          <w:bCs/>
          <w:sz w:val="28"/>
          <w:szCs w:val="28"/>
          <w:lang w:val="vi-VN"/>
        </w:rPr>
        <w:t>Đông Bắc Á là khu vực có kết quả hợp tác khoa học công nghệ nổi bật trong năm 2025 với 28 thỏa thuận ở các cấp. Sự đa dạng về cấp độ và số lượng thỏa thuận cho thấy chiều sâu của quan hệ hợp tác với khu vực này.</w:t>
      </w:r>
    </w:p>
    <w:p w14:paraId="645D7954"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vi-VN"/>
        </w:rPr>
      </w:pPr>
      <w:r w:rsidRPr="003D5FA9">
        <w:rPr>
          <w:rFonts w:ascii="Times New Roman" w:eastAsia="Times New Roman" w:hAnsi="Times New Roman" w:cs="Times New Roman"/>
          <w:bCs/>
          <w:sz w:val="28"/>
          <w:szCs w:val="28"/>
          <w:u w:val="single"/>
          <w:lang w:val="vi-VN"/>
        </w:rPr>
        <w:t>Với Trung Quốc</w:t>
      </w:r>
      <w:r w:rsidRPr="003D5FA9">
        <w:rPr>
          <w:rFonts w:ascii="Times New Roman" w:eastAsia="Times New Roman" w:hAnsi="Times New Roman" w:cs="Times New Roman"/>
          <w:bCs/>
          <w:sz w:val="28"/>
          <w:szCs w:val="28"/>
          <w:lang w:val="vi-VN"/>
        </w:rPr>
        <w:t>: Tuyên bố chung trong chuyến thăm của Chủ tịch Tập Cận Bình tháng 4/2025 đã xác định việc đưa hợp tác khoa học công nghệ trở thành điểm sáng mới trong quan hệ hai nước. Ta đã ký 2 thỏa thuận hợp tác mới, đồng thời  cụ thể hóa qua nhiều đề xuất hợp tác như: Đại học Thanh Hoa cam kết hỗ trợ đào tạo 100 kỹ sư AI cho Việt Nam, thúc đẩy ký kết Bản ghi nhớ về an toàn hạt nhân giữa Bộ Khoa học và Công nghệ Việt Nam và Bộ Sinh thái Môi trường Trung Quốc. Các doanh nghiệp Trung Quốc trong cuộc gặp với Phó Thủ tướng Mai Văn Chính tại Quảng Tây tháng 9/2025 đã đưa ra những cam kết cụ thể về hỗ trợ phát triển thành phố thông minh, xây dựng trung tâm dữ liệu toàn cầu, và đặc biệt là sáng kiến thành lập “Nền tảng hợp tác đào tạo nhân tài kinh tế số và chuyển giao công nghệ” nhằm thúc đẩy hợp tác doanh nghiệp hai nước trong lĩnh vực công nghệ số.</w:t>
      </w:r>
    </w:p>
    <w:p w14:paraId="710482A6"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vi-VN"/>
        </w:rPr>
      </w:pPr>
      <w:r w:rsidRPr="003D5FA9">
        <w:rPr>
          <w:rFonts w:ascii="Times New Roman" w:eastAsia="Times New Roman" w:hAnsi="Times New Roman" w:cs="Times New Roman"/>
          <w:bCs/>
          <w:sz w:val="28"/>
          <w:szCs w:val="28"/>
          <w:u w:val="single"/>
          <w:lang w:val="vi-VN"/>
        </w:rPr>
        <w:t>Với Nhật Bản</w:t>
      </w:r>
      <w:r w:rsidRPr="003D5FA9">
        <w:rPr>
          <w:rFonts w:ascii="Times New Roman" w:eastAsia="Times New Roman" w:hAnsi="Times New Roman" w:cs="Times New Roman"/>
          <w:bCs/>
          <w:sz w:val="28"/>
          <w:szCs w:val="28"/>
          <w:lang w:val="vi-VN"/>
        </w:rPr>
        <w:t xml:space="preserve">: </w:t>
      </w:r>
      <w:r w:rsidRPr="003D5FA9">
        <w:rPr>
          <w:rFonts w:ascii="Times New Roman" w:eastAsia="Calibri" w:hAnsi="Times New Roman" w:cs="Times New Roman"/>
          <w:sz w:val="28"/>
          <w:szCs w:val="28"/>
          <w:lang w:val="pt-BR"/>
        </w:rPr>
        <w:t>Tại Thông cáo báo chí chung nhân chuyến thăm chính thức Việt Nam của Thủ tướng Nhật Bản (4/2025),</w:t>
      </w:r>
      <w:r w:rsidRPr="003D5FA9">
        <w:rPr>
          <w:rFonts w:ascii="Times New Roman" w:eastAsia="Calibri" w:hAnsi="Times New Roman" w:cs="Times New Roman"/>
          <w:bCs/>
          <w:iCs/>
          <w:sz w:val="28"/>
          <w:szCs w:val="28"/>
          <w:lang w:val="pt-BR"/>
        </w:rPr>
        <w:t xml:space="preserve"> </w:t>
      </w:r>
      <w:r w:rsidRPr="003D5FA9">
        <w:rPr>
          <w:rFonts w:ascii="Times New Roman" w:eastAsia="Times New Roman" w:hAnsi="Times New Roman" w:cs="Times New Roman"/>
          <w:bCs/>
          <w:sz w:val="28"/>
          <w:szCs w:val="28"/>
          <w:lang w:val="vi-VN"/>
        </w:rPr>
        <w:t xml:space="preserve">hai bên nhất trí đưa hợp tác khoa học công nghệ, đổi mới sáng tạo và </w:t>
      </w:r>
      <w:r w:rsidRPr="003D5FA9">
        <w:rPr>
          <w:rFonts w:ascii="Times New Roman" w:eastAsia="Times New Roman" w:hAnsi="Times New Roman" w:cs="Times New Roman"/>
          <w:bCs/>
          <w:iCs/>
          <w:sz w:val="28"/>
          <w:szCs w:val="28"/>
          <w:lang w:val="vi-VN"/>
        </w:rPr>
        <w:t>đào tạo nhân lực chất lượng cao</w:t>
      </w:r>
      <w:r w:rsidRPr="003D5FA9">
        <w:rPr>
          <w:rFonts w:ascii="Times New Roman" w:eastAsia="Times New Roman" w:hAnsi="Times New Roman" w:cs="Times New Roman"/>
          <w:bCs/>
          <w:sz w:val="28"/>
          <w:szCs w:val="28"/>
          <w:lang w:val="vi-VN"/>
        </w:rPr>
        <w:t xml:space="preserve"> trở thành trụ cột mới trong quan hệ song phương. Nhật Bản có các cam kết cụ thể như: đào tạo 250 tiến sĩ ngành bán dẫn đến năm 2030 thông qua Chương trình NEXUS, hỗ trợ Việt Nam nâng cao năng lực nghiên cứu bán dẫn với các dự án nghiên cứu chung được đồng tài trợ, cam kế </w:t>
      </w:r>
      <w:r w:rsidRPr="003D5FA9">
        <w:rPr>
          <w:rFonts w:ascii="Times New Roman" w:eastAsia="Times New Roman" w:hAnsi="Times New Roman" w:cs="Times New Roman"/>
          <w:iCs/>
          <w:spacing w:val="-4"/>
          <w:sz w:val="28"/>
          <w:szCs w:val="28"/>
          <w:lang w:val="vi-VN"/>
        </w:rPr>
        <w:t>triển khai chương trình khoa học Sakura, dự án vệ tinh LOTUSat1 và hỗ trợ nghiên cứu AI, lượng tử</w:t>
      </w:r>
      <w:r w:rsidRPr="003D5FA9">
        <w:rPr>
          <w:rFonts w:ascii="Times New Roman" w:eastAsia="Times New Roman" w:hAnsi="Times New Roman" w:cs="Times New Roman"/>
          <w:bCs/>
          <w:sz w:val="28"/>
          <w:szCs w:val="28"/>
          <w:lang w:val="vi-VN"/>
        </w:rPr>
        <w:t>. Tập đoàn Rapidus - một trong những công ty bán dẫn hàng đầu Nhật Bản - bày tỏ mong muốn hợp tác đào tạo nguồn nhân lực chất lượng cao thông qua Đại học Việt-Nhật. Chương trình Sakura về giao lưu nhân lực thế hệ mới trong lĩnh vực khoa học công nghệ tiên tiến cũng đang được triển khai. Đặc biệt, hai bên đang nghiên cứu thành lập cơ chế hợp tác mới về khoa học công nghệ theo hướng hợp tác công-tư, tương tự mô hình Nhật Bản đã có với Anh và Ấn Độ.</w:t>
      </w:r>
    </w:p>
    <w:p w14:paraId="5515132A"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pt-BR"/>
        </w:rPr>
      </w:pPr>
      <w:r w:rsidRPr="003D5FA9">
        <w:rPr>
          <w:rFonts w:ascii="Times New Roman" w:eastAsia="Times New Roman" w:hAnsi="Times New Roman" w:cs="Times New Roman"/>
          <w:bCs/>
          <w:sz w:val="28"/>
          <w:szCs w:val="28"/>
          <w:u w:val="single"/>
          <w:lang w:val="vi-VN"/>
        </w:rPr>
        <w:t>Với Hàn Quốc</w:t>
      </w:r>
      <w:r w:rsidRPr="003D5FA9">
        <w:rPr>
          <w:rFonts w:ascii="Times New Roman" w:eastAsia="Times New Roman" w:hAnsi="Times New Roman" w:cs="Times New Roman"/>
          <w:bCs/>
          <w:sz w:val="28"/>
          <w:szCs w:val="28"/>
          <w:lang w:val="vi-VN"/>
        </w:rPr>
        <w:t xml:space="preserve">: Hai bên nhất trí đưa hợp tác khoa học công nghệ thành trụ cột, điểm sáng mới trong quan hệ song phương, </w:t>
      </w:r>
      <w:r w:rsidRPr="003D5FA9">
        <w:rPr>
          <w:rFonts w:ascii="Times New Roman" w:eastAsia="Malgun Gothic" w:hAnsi="Times New Roman" w:cs="Times New Roman"/>
          <w:sz w:val="28"/>
          <w:szCs w:val="28"/>
          <w:lang w:val="pt-BR" w:eastAsia="ko-KR"/>
        </w:rPr>
        <w:t xml:space="preserve">để Việt Nam hướng tới trở thành đối tác kiến tạo giá trị cùng Hàn Quốc trong khoa học công nghệ, đổi mới sáng tạo, </w:t>
      </w:r>
      <w:r w:rsidRPr="003D5FA9">
        <w:rPr>
          <w:rFonts w:ascii="Times New Roman" w:eastAsia="Malgun Gothic" w:hAnsi="Times New Roman" w:cs="Times New Roman"/>
          <w:sz w:val="28"/>
          <w:szCs w:val="28"/>
          <w:lang w:val="pt-BR" w:eastAsia="ko-KR"/>
        </w:rPr>
        <w:lastRenderedPageBreak/>
        <w:t xml:space="preserve">chuyển đổi số và phát triển nguồn nhân lực. Trong chuyến thăm Hàn Quốc của Tổng Bí thư Tô Lâm (tháng 8/2025) ta đã </w:t>
      </w:r>
      <w:r w:rsidRPr="003D5FA9">
        <w:rPr>
          <w:rFonts w:ascii="Times New Roman" w:eastAsia="Times New Roman" w:hAnsi="Times New Roman" w:cs="Times New Roman"/>
          <w:sz w:val="28"/>
          <w:szCs w:val="28"/>
          <w:lang w:val="vi-VN"/>
        </w:rPr>
        <w:t xml:space="preserve">thúc đẩy ký kết </w:t>
      </w:r>
      <w:r w:rsidRPr="003D5FA9">
        <w:rPr>
          <w:rFonts w:ascii="Times New Roman" w:eastAsia="Times New Roman" w:hAnsi="Times New Roman" w:cs="Times New Roman"/>
          <w:sz w:val="28"/>
          <w:szCs w:val="28"/>
          <w:lang w:val="pt-BR"/>
        </w:rPr>
        <w:t>khoảng 22</w:t>
      </w:r>
      <w:r w:rsidRPr="003D5FA9">
        <w:rPr>
          <w:rFonts w:ascii="Times New Roman" w:eastAsia="Times New Roman" w:hAnsi="Times New Roman" w:cs="Times New Roman"/>
          <w:sz w:val="28"/>
          <w:szCs w:val="28"/>
          <w:lang w:val="vi-VN"/>
        </w:rPr>
        <w:t xml:space="preserve"> văn kiện hợp tác giữa các địa phương, doanh nghiệp, viện trường của Việt Nam với các đối tác Hàn Quốc về đào tạo nhân lực và các lĩnh vực như bán dẫn, vật liệu tiên tiến, sinh học…</w:t>
      </w:r>
      <w:r w:rsidRPr="003D5FA9">
        <w:rPr>
          <w:rFonts w:ascii="Times New Roman" w:eastAsia="Times New Roman" w:hAnsi="Times New Roman" w:cs="Times New Roman"/>
          <w:sz w:val="28"/>
          <w:szCs w:val="28"/>
          <w:lang w:val="pt-BR"/>
        </w:rPr>
        <w:t xml:space="preserve"> Ta đã</w:t>
      </w:r>
      <w:r w:rsidRPr="003D5FA9">
        <w:rPr>
          <w:rFonts w:ascii="Times New Roman" w:eastAsia="Times New Roman" w:hAnsi="Times New Roman" w:cs="Times New Roman"/>
          <w:bCs/>
          <w:sz w:val="28"/>
          <w:szCs w:val="28"/>
          <w:lang w:val="pt-BR"/>
        </w:rPr>
        <w:t xml:space="preserve"> </w:t>
      </w:r>
      <w:r w:rsidRPr="003D5FA9">
        <w:rPr>
          <w:rFonts w:ascii="Times New Roman" w:eastAsia="Times New Roman" w:hAnsi="Times New Roman" w:cs="Times New Roman"/>
          <w:sz w:val="28"/>
          <w:szCs w:val="28"/>
          <w:lang w:val="pt-BR"/>
        </w:rPr>
        <w:t>t</w:t>
      </w:r>
      <w:r w:rsidRPr="003D5FA9">
        <w:rPr>
          <w:rFonts w:ascii="Times New Roman" w:eastAsia="Times New Roman" w:hAnsi="Times New Roman" w:cs="Times New Roman"/>
          <w:sz w:val="28"/>
          <w:szCs w:val="28"/>
          <w:lang w:val="vi-VN"/>
        </w:rPr>
        <w:t>húc đẩy</w:t>
      </w:r>
      <w:r w:rsidRPr="003D5FA9">
        <w:rPr>
          <w:rFonts w:ascii="Times New Roman" w:eastAsia="Times New Roman" w:hAnsi="Times New Roman" w:cs="Times New Roman"/>
          <w:b/>
          <w:bCs/>
          <w:sz w:val="28"/>
          <w:szCs w:val="28"/>
          <w:lang w:val="vi-VN"/>
        </w:rPr>
        <w:t xml:space="preserve"> </w:t>
      </w:r>
      <w:r w:rsidRPr="003D5FA9">
        <w:rPr>
          <w:rFonts w:ascii="Times New Roman" w:eastAsia="Times New Roman" w:hAnsi="Times New Roman" w:cs="Times New Roman"/>
          <w:sz w:val="28"/>
          <w:szCs w:val="28"/>
          <w:lang w:val="vi-VN"/>
        </w:rPr>
        <w:t>Hàn Quốc</w:t>
      </w:r>
      <w:r w:rsidRPr="003D5FA9">
        <w:rPr>
          <w:rFonts w:ascii="Times New Roman" w:eastAsia="Times New Roman" w:hAnsi="Times New Roman" w:cs="Times New Roman"/>
          <w:b/>
          <w:bCs/>
          <w:sz w:val="28"/>
          <w:szCs w:val="28"/>
          <w:lang w:val="vi-VN"/>
        </w:rPr>
        <w:t xml:space="preserve"> </w:t>
      </w:r>
      <w:r w:rsidRPr="003D5FA9">
        <w:rPr>
          <w:rFonts w:ascii="Times New Roman" w:eastAsia="Malgun Gothic" w:hAnsi="Times New Roman" w:cs="Times New Roman"/>
          <w:sz w:val="28"/>
          <w:szCs w:val="28"/>
          <w:lang w:val="pt-BR" w:eastAsia="ko-KR"/>
        </w:rPr>
        <w:t xml:space="preserve">nhất trí hợp tác vận hành và triển khai hiệu quả Trung tâm hợp tác công nghệ chuỗi khoáng sản thiết yếu và Trung tâm tư vấn và giải pháp công nghệ Việt Nam - Hàn Quốc giai đoạn 2 (VITASK), </w:t>
      </w:r>
      <w:r w:rsidRPr="003D5FA9">
        <w:rPr>
          <w:rFonts w:ascii="Times New Roman" w:eastAsia="Times New Roman" w:hAnsi="Times New Roman" w:cs="Times New Roman"/>
          <w:iCs/>
          <w:spacing w:val="-4"/>
          <w:sz w:val="28"/>
          <w:szCs w:val="28"/>
          <w:lang w:val="pt-BR"/>
        </w:rPr>
        <w:t>nhất trí hợp tác chuyển giao công nghệ và phát triển công nghiệp phụ trợ tại Việt Nam</w:t>
      </w:r>
      <w:r w:rsidRPr="003D5FA9">
        <w:rPr>
          <w:rFonts w:ascii="Times New Roman" w:eastAsia="Malgun Gothic" w:hAnsi="Times New Roman" w:cs="Times New Roman"/>
          <w:sz w:val="28"/>
          <w:szCs w:val="28"/>
          <w:lang w:val="pt-BR" w:eastAsia="ko-KR"/>
        </w:rPr>
        <w:t>; tăng cường kết nối hệ sinh thái đổi mới sáng tạo, khởi nghiệp sáng tạo giữa hai nước</w:t>
      </w:r>
      <w:r w:rsidRPr="003D5FA9">
        <w:rPr>
          <w:rFonts w:ascii="Times New Roman" w:eastAsia="Times New Roman" w:hAnsi="Times New Roman" w:cs="Times New Roman"/>
          <w:bCs/>
          <w:sz w:val="28"/>
          <w:szCs w:val="28"/>
          <w:lang w:val="pt-BR"/>
        </w:rPr>
        <w:t>.</w:t>
      </w:r>
    </w:p>
    <w:p w14:paraId="248D0BA6"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i/>
          <w:iCs/>
          <w:sz w:val="28"/>
          <w:szCs w:val="28"/>
          <w:lang w:val="pt-BR"/>
        </w:rPr>
      </w:pPr>
      <w:r w:rsidRPr="003D5FA9">
        <w:rPr>
          <w:rFonts w:ascii="Times New Roman" w:eastAsia="Times New Roman" w:hAnsi="Times New Roman" w:cs="Times New Roman"/>
          <w:i/>
          <w:iCs/>
          <w:sz w:val="28"/>
          <w:szCs w:val="28"/>
          <w:lang w:val="pt-BR"/>
        </w:rPr>
        <w:t>b) Hợp tác với Mỹ và Mỹ Latinh:</w:t>
      </w:r>
    </w:p>
    <w:p w14:paraId="5204AD87"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pt-BR"/>
        </w:rPr>
      </w:pPr>
      <w:r w:rsidRPr="003D5FA9">
        <w:rPr>
          <w:rFonts w:ascii="Times New Roman" w:eastAsia="Times New Roman" w:hAnsi="Times New Roman" w:cs="Times New Roman"/>
          <w:bCs/>
          <w:sz w:val="28"/>
          <w:szCs w:val="28"/>
          <w:lang w:val="pt-BR"/>
        </w:rPr>
        <w:t>Hợp tác với Mỹ tập trung vào công nghệ cao, đặc biệt là bán dẫn và AI, trong khi hợp tác với các nước Mỹ Latinh tập trung vào ứng dụng và chuyển giao công nghệ phù hợp với năng lực của doanh nghiệp Việt Nam.</w:t>
      </w:r>
    </w:p>
    <w:p w14:paraId="18820629"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pt-BR"/>
        </w:rPr>
      </w:pPr>
      <w:r w:rsidRPr="003D5FA9">
        <w:rPr>
          <w:rFonts w:ascii="Times New Roman" w:eastAsia="Times New Roman" w:hAnsi="Times New Roman" w:cs="Times New Roman"/>
          <w:bCs/>
          <w:sz w:val="28"/>
          <w:szCs w:val="28"/>
          <w:u w:val="single"/>
          <w:lang w:val="pt-BR"/>
        </w:rPr>
        <w:t>Với Mỹ</w:t>
      </w:r>
      <w:r w:rsidRPr="003D5FA9">
        <w:rPr>
          <w:rFonts w:ascii="Times New Roman" w:eastAsia="Times New Roman" w:hAnsi="Times New Roman" w:cs="Times New Roman"/>
          <w:bCs/>
          <w:sz w:val="28"/>
          <w:szCs w:val="28"/>
          <w:lang w:val="pt-BR"/>
        </w:rPr>
        <w:t>: Tiếp tục thúc đẩy triển khai trọng tâm hợp tác về KH-CN, ĐMST trong Tuyên bố chung về nâng cấp quan hệ Việt - Mỹ lên Đối tác chiến toàn diện năm 2023. Lồng ghép nội hàm hợp tác KH-CN, ĐMST trong các cơ chế, khuôn khổ hợp tác, trao đổi, đối thoại ở cấp cao và các cấp giữa hai nước. Tiếp tục phối hợp rà soát các thỏa thuận liên quan KH-CN, tập trung thúc đẩy chuyển giao công nghệ. Triển khai Biên bản hợp tác Việt - Mỹ trong lĩnh vực bán dẫn, trong đó tiếp tục hợp tác xây dựng nhà máy chế tạo vi mạch bán dẫn phân khúc trung bình (28 nanomet) tại Việt Nam, giữa Viettel và đối tác Mỹ. Tiếp tục phối hợp rà soát các thỏa thuận liên quan KH-CN, tập trung thúc đẩy chuyển giao công nghệ. Duy trì các cuộc tiếp xúc, trao đổi sâu hơn và nghiên cứu mở rộng các lĩnh vực hợp tác mới (viễn thông, năng lượng nguyên tử, lò phản ứng nhỏ SMR, cảng thông minh…). Tiếp tục kiên trì vận động phía Mỹ công nhận quy chế kinh tế thị trường (MES) của Việt Nam; sớm có lộ trình đưa Việt Nam ra khỏi danh sách bị hạn chế xuất khẩu công nghệ cao (D1, D3). Trong tiếp xúc với Thủ tướng Phạm Minh Chính bên lề HNCC ASEAN 47 (26/10) và với Chủ tịch nước Lương Cường bên lề Cấp cao APEC 32 (29/10), Tổng thống Trump phản hồi tích cực và ghi nhận đề nghị đưa Việt Nam ra khỏi danh sách D1, D3; chỉ đạo Bộ trưởng Tài chính, Đại diện Thương mại Mỹ sớm phản hồi về vấn đề này.</w:t>
      </w:r>
    </w:p>
    <w:p w14:paraId="4F331EDF"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pt-BR"/>
        </w:rPr>
      </w:pPr>
      <w:r w:rsidRPr="003D5FA9">
        <w:rPr>
          <w:rFonts w:ascii="Times New Roman" w:eastAsia="Times New Roman" w:hAnsi="Times New Roman" w:cs="Times New Roman"/>
          <w:bCs/>
          <w:sz w:val="28"/>
          <w:szCs w:val="28"/>
          <w:u w:val="single"/>
          <w:lang w:val="pt-BR"/>
        </w:rPr>
        <w:t>Với Canada</w:t>
      </w:r>
      <w:r w:rsidRPr="003D5FA9">
        <w:rPr>
          <w:rFonts w:ascii="Times New Roman" w:eastAsia="Times New Roman" w:hAnsi="Times New Roman" w:cs="Times New Roman"/>
          <w:bCs/>
          <w:sz w:val="28"/>
          <w:szCs w:val="28"/>
          <w:lang w:val="pt-BR"/>
        </w:rPr>
        <w:t>: đưa nội hàm hợp tác về khoa học - công nghệ vào khuôn khổ quan hệ Đối tác toàn diện với Canada là 1 trong 7 ưu tiên hợp tác giữa hai nước; thường xuyên đưa các nội dung về hợp tác khoa học, chuyển giao công nghệ vào các gặp gỡ, tiếp xúc với Lãnh đạo cấp cao và bộ ngành của Canada; vận động thành công phía Canada phê duyệt 01 dự án hỗ trợ cho Cục Sở hữu trí tuệ (Bộ Khoa học và Công nghệ) giúp ta thực hiện các cam kết trong CPTPP; hợp tác với Canada trong triển khai kế hoạch hành động triển khai Tuyên bố chung về quan hệ đối tác tăng cường ASEAN-Canada trong lĩnh vực sở hữu trí tuệ.</w:t>
      </w:r>
    </w:p>
    <w:p w14:paraId="773431E4"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pt-BR"/>
        </w:rPr>
      </w:pPr>
      <w:r w:rsidRPr="003D5FA9">
        <w:rPr>
          <w:rFonts w:ascii="Times New Roman" w:eastAsia="Times New Roman" w:hAnsi="Times New Roman" w:cs="Times New Roman"/>
          <w:bCs/>
          <w:sz w:val="28"/>
          <w:szCs w:val="28"/>
          <w:u w:val="single"/>
          <w:lang w:val="pt-BR"/>
        </w:rPr>
        <w:t>Với khu vực Mỹ Latinh</w:t>
      </w:r>
      <w:r w:rsidRPr="003D5FA9">
        <w:rPr>
          <w:rFonts w:ascii="Times New Roman" w:eastAsia="Times New Roman" w:hAnsi="Times New Roman" w:cs="Times New Roman"/>
          <w:bCs/>
          <w:sz w:val="28"/>
          <w:szCs w:val="28"/>
          <w:lang w:val="pt-BR"/>
        </w:rPr>
        <w:t xml:space="preserve">: Hợp tác khoa học công nghệ tập trung vào một số đối tác trọng điểm với những lĩnh vực phù hợp. </w:t>
      </w:r>
      <w:r w:rsidRPr="003D5FA9">
        <w:rPr>
          <w:rFonts w:ascii="Times New Roman" w:eastAsia="Times New Roman" w:hAnsi="Times New Roman" w:cs="Times New Roman"/>
          <w:bCs/>
          <w:sz w:val="28"/>
          <w:szCs w:val="28"/>
          <w:u w:val="single"/>
          <w:lang w:val="pt-BR"/>
        </w:rPr>
        <w:t>Cuba</w:t>
      </w:r>
      <w:r w:rsidRPr="003D5FA9">
        <w:rPr>
          <w:rFonts w:ascii="Times New Roman" w:eastAsia="Times New Roman" w:hAnsi="Times New Roman" w:cs="Times New Roman"/>
          <w:bCs/>
          <w:sz w:val="28"/>
          <w:szCs w:val="28"/>
          <w:lang w:val="pt-BR"/>
        </w:rPr>
        <w:t xml:space="preserve"> là điểm sáng với Dự án Tổ hợp năng lượng mặt trời do Viettel triển khai và hợp tác trong lĩnh vực công nghệ sinh học dược phẩm, hướng tới thành lập công ty liên doanh về công nghệ sinh học nông </w:t>
      </w:r>
      <w:r w:rsidRPr="003D5FA9">
        <w:rPr>
          <w:rFonts w:ascii="Times New Roman" w:eastAsia="Times New Roman" w:hAnsi="Times New Roman" w:cs="Times New Roman"/>
          <w:bCs/>
          <w:sz w:val="28"/>
          <w:szCs w:val="28"/>
          <w:lang w:val="pt-BR"/>
        </w:rPr>
        <w:lastRenderedPageBreak/>
        <w:t xml:space="preserve">nghiệp. Tại </w:t>
      </w:r>
      <w:r w:rsidRPr="003D5FA9">
        <w:rPr>
          <w:rFonts w:ascii="Times New Roman" w:eastAsia="Times New Roman" w:hAnsi="Times New Roman" w:cs="Times New Roman"/>
          <w:bCs/>
          <w:sz w:val="28"/>
          <w:szCs w:val="28"/>
          <w:u w:val="single"/>
          <w:lang w:val="pt-BR"/>
        </w:rPr>
        <w:t>Ecuador và Peru</w:t>
      </w:r>
      <w:r w:rsidRPr="003D5FA9">
        <w:rPr>
          <w:rFonts w:ascii="Times New Roman" w:eastAsia="Times New Roman" w:hAnsi="Times New Roman" w:cs="Times New Roman"/>
          <w:bCs/>
          <w:sz w:val="28"/>
          <w:szCs w:val="28"/>
          <w:lang w:val="pt-BR"/>
        </w:rPr>
        <w:t xml:space="preserve">, Viettel đang mở rộng đầu tư vào lĩnh vực viễn thông và chuyển đổi số, đặc biệt là các dự án xóa bỏ khoảng cách công nghệ ở vùng sâu vùng xa, với triển vọng ký kết thỏa thuận hợp tác chuyển đổi số vào cuối 2025 hoặc 2026. </w:t>
      </w:r>
      <w:r w:rsidRPr="003D5FA9">
        <w:rPr>
          <w:rFonts w:ascii="Times New Roman" w:eastAsia="Times New Roman" w:hAnsi="Times New Roman" w:cs="Times New Roman"/>
          <w:bCs/>
          <w:sz w:val="28"/>
          <w:szCs w:val="28"/>
          <w:u w:val="single"/>
          <w:lang w:val="pt-BR"/>
        </w:rPr>
        <w:t>Argentina, Chile, Mexico và Venezuela</w:t>
      </w:r>
      <w:r w:rsidRPr="003D5FA9">
        <w:rPr>
          <w:rFonts w:ascii="Times New Roman" w:eastAsia="Times New Roman" w:hAnsi="Times New Roman" w:cs="Times New Roman"/>
          <w:bCs/>
          <w:sz w:val="28"/>
          <w:szCs w:val="28"/>
          <w:lang w:val="pt-BR"/>
        </w:rPr>
        <w:t xml:space="preserve"> đang trong giai đoạn triển khai các thỏa thuận đã ký về hợp tác khoa học công nghệ, tuy nhiên do khoảng cách địa lý và hạn chế nguồn lực, kết quả còn khiêm tốn.</w:t>
      </w:r>
    </w:p>
    <w:p w14:paraId="286AF2B6"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i/>
          <w:iCs/>
          <w:sz w:val="28"/>
          <w:szCs w:val="28"/>
          <w:lang w:val="pt-BR"/>
        </w:rPr>
      </w:pPr>
      <w:r w:rsidRPr="003D5FA9">
        <w:rPr>
          <w:rFonts w:ascii="Times New Roman" w:eastAsia="Times New Roman" w:hAnsi="Times New Roman" w:cs="Times New Roman"/>
          <w:i/>
          <w:iCs/>
          <w:sz w:val="28"/>
          <w:szCs w:val="28"/>
          <w:lang w:val="pt-BR"/>
        </w:rPr>
        <w:t>c) Hợp tác với các nước Châu Âu:</w:t>
      </w:r>
    </w:p>
    <w:p w14:paraId="29EE05C3"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bCs/>
          <w:sz w:val="28"/>
          <w:szCs w:val="28"/>
          <w:lang w:val="pt-BR"/>
        </w:rPr>
      </w:pPr>
      <w:r w:rsidRPr="003D5FA9">
        <w:rPr>
          <w:rFonts w:ascii="Times New Roman" w:eastAsia="Times New Roman" w:hAnsi="Times New Roman" w:cs="Times New Roman"/>
          <w:bCs/>
          <w:sz w:val="28"/>
          <w:szCs w:val="28"/>
          <w:lang w:val="pt-BR"/>
        </w:rPr>
        <w:t>Hợp tác với Châu Âu tập trung vào các lĩnh vực công nghệ dân dụng tiên tiến như năng lượng sạch, hàng không vũ trụ và an ninh mạng, phù hợp với thế mạnh công nghệ của các đối tác châu Âu. Trong năm 2025, ta đã ký 28 thỏa thuận hợp tác các cấp trong các hoạt động đối ngoại của Lãnh đạo cấp cao, thiết lập một số cơ chế hợp tác mới với một số đối tác như Nga, Kazakhstan.</w:t>
      </w:r>
    </w:p>
    <w:p w14:paraId="2B5FD4EB"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bCs/>
          <w:i/>
          <w:iCs/>
          <w:sz w:val="28"/>
          <w:szCs w:val="28"/>
          <w:u w:val="single"/>
          <w:lang w:val="pt-BR"/>
        </w:rPr>
        <w:t>Với Nga</w:t>
      </w:r>
      <w:r w:rsidRPr="003D5FA9">
        <w:rPr>
          <w:rFonts w:ascii="Times New Roman" w:eastAsia="Times New Roman" w:hAnsi="Times New Roman" w:cs="Times New Roman"/>
          <w:bCs/>
          <w:sz w:val="28"/>
          <w:szCs w:val="28"/>
          <w:lang w:val="pt-BR"/>
        </w:rPr>
        <w:t xml:space="preserve">: </w:t>
      </w:r>
      <w:r w:rsidRPr="003D5FA9">
        <w:rPr>
          <w:rFonts w:ascii="Times New Roman" w:eastAsia="Times New Roman" w:hAnsi="Times New Roman" w:cs="Times New Roman"/>
          <w:sz w:val="28"/>
          <w:szCs w:val="28"/>
          <w:lang w:val="pt-BR"/>
        </w:rPr>
        <w:t>Ta đã</w:t>
      </w:r>
      <w:r w:rsidRPr="003D5FA9">
        <w:rPr>
          <w:rFonts w:ascii="Times New Roman" w:eastAsia="Times New Roman" w:hAnsi="Times New Roman" w:cs="Times New Roman"/>
          <w:sz w:val="28"/>
          <w:szCs w:val="28"/>
          <w:lang w:val="vi-VN"/>
        </w:rPr>
        <w:t xml:space="preserve"> ký 0</w:t>
      </w:r>
      <w:r w:rsidRPr="003D5FA9">
        <w:rPr>
          <w:rFonts w:ascii="Times New Roman" w:eastAsia="Times New Roman" w:hAnsi="Times New Roman" w:cs="Times New Roman"/>
          <w:sz w:val="28"/>
          <w:szCs w:val="28"/>
          <w:lang w:val="pt-BR"/>
        </w:rPr>
        <w:t>7</w:t>
      </w:r>
      <w:r w:rsidRPr="003D5FA9">
        <w:rPr>
          <w:rFonts w:ascii="Times New Roman" w:eastAsia="Times New Roman" w:hAnsi="Times New Roman" w:cs="Times New Roman"/>
          <w:sz w:val="28"/>
          <w:szCs w:val="28"/>
          <w:lang w:val="vi-VN"/>
        </w:rPr>
        <w:t xml:space="preserve"> thỏa thuận hợp tác trong nghiên cứu chung và hợp tác trong các lĩnh vực khoa học, công nghệ</w:t>
      </w:r>
      <w:r w:rsidRPr="003D5FA9">
        <w:rPr>
          <w:rFonts w:ascii="Times New Roman" w:eastAsia="Times New Roman" w:hAnsi="Times New Roman" w:cs="Times New Roman"/>
          <w:sz w:val="28"/>
          <w:szCs w:val="28"/>
          <w:lang w:val="pt-BR"/>
        </w:rPr>
        <w:t>,</w:t>
      </w:r>
      <w:r w:rsidRPr="003D5FA9">
        <w:rPr>
          <w:rFonts w:ascii="Times New Roman" w:eastAsia="Times New Roman" w:hAnsi="Times New Roman" w:cs="Times New Roman"/>
          <w:sz w:val="28"/>
          <w:szCs w:val="28"/>
          <w:lang w:val="vi-VN"/>
        </w:rPr>
        <w:t xml:space="preserve"> cụ thể như năng lượng nguyên tử, công nghiệp vô tuyến điện tử</w:t>
      </w:r>
      <w:r w:rsidRPr="003D5FA9">
        <w:rPr>
          <w:rFonts w:ascii="Times New Roman" w:eastAsia="Times New Roman" w:hAnsi="Times New Roman" w:cs="Times New Roman"/>
          <w:sz w:val="28"/>
          <w:szCs w:val="28"/>
          <w:lang w:val="pt-BR"/>
        </w:rPr>
        <w:t>. Thúc đẩy Nga nhất trí Tổ chức họp Ủy ban hợp tác Khoa học – Giáo dục vào tháng 10/2025; thống nhất chọn được 4/17 dự án nghiên cứu chung cho năm 2026. Lần đầu tiên  chính thức ký Thỏa thuận hợp tác để tạo cơ sở cho việc xây dựng kế hoạch và triển khai các dự án nghiên cứu chung với các mốc thời gian cụ thể từng năm, trong giai đoạn 10 năm (2025-2035).</w:t>
      </w:r>
    </w:p>
    <w:p w14:paraId="1678155D"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i/>
          <w:iCs/>
          <w:sz w:val="28"/>
          <w:szCs w:val="28"/>
          <w:u w:val="single"/>
          <w:lang w:val="pt-BR"/>
        </w:rPr>
        <w:t>Với Pháp</w:t>
      </w:r>
      <w:r w:rsidRPr="003D5FA9">
        <w:rPr>
          <w:rFonts w:ascii="Times New Roman" w:eastAsia="Times New Roman" w:hAnsi="Times New Roman" w:cs="Times New Roman"/>
          <w:sz w:val="28"/>
          <w:szCs w:val="28"/>
          <w:lang w:val="pt-BR"/>
        </w:rPr>
        <w:t>: Ta đã</w:t>
      </w:r>
      <w:r w:rsidRPr="003D5FA9">
        <w:rPr>
          <w:rFonts w:ascii="Times New Roman" w:eastAsia="Times New Roman" w:hAnsi="Times New Roman" w:cs="Times New Roman"/>
          <w:sz w:val="28"/>
          <w:szCs w:val="28"/>
          <w:lang w:val="vi-VN"/>
        </w:rPr>
        <w:t xml:space="preserve"> ký 03 thỏa thuận tạo khuôn khổ hợp tác về khoa học công nghệ và đổi mới sáng tạo và thỏa thuận hợp tác giữa các cơ quan, bộ ngành của ta trong lĩnh vực công nghệ cụ thể</w:t>
      </w:r>
      <w:r w:rsidRPr="003D5FA9">
        <w:rPr>
          <w:rFonts w:ascii="Times New Roman" w:eastAsia="Times New Roman" w:hAnsi="Times New Roman" w:cs="Times New Roman"/>
          <w:sz w:val="28"/>
          <w:szCs w:val="28"/>
          <w:lang w:val="pt-BR"/>
        </w:rPr>
        <w:t>. Thúc đẩy Pháp ghi nhận đề xuất của ta về việc hỗ trợ Việt Nam tự chủ chiến lược thông qua chuyển giao các công nghệ lõi; hỗ trợ Việt Nam trong việc đào tạo nguồn nhân lực chất lượng cao.</w:t>
      </w:r>
    </w:p>
    <w:p w14:paraId="17D84A08"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i/>
          <w:iCs/>
          <w:sz w:val="28"/>
          <w:szCs w:val="28"/>
          <w:u w:val="single"/>
          <w:lang w:val="pt-BR"/>
        </w:rPr>
        <w:t>Với Anh</w:t>
      </w:r>
      <w:r w:rsidRPr="003D5FA9">
        <w:rPr>
          <w:rFonts w:ascii="Times New Roman" w:eastAsia="Times New Roman" w:hAnsi="Times New Roman" w:cs="Times New Roman"/>
          <w:sz w:val="28"/>
          <w:szCs w:val="28"/>
          <w:lang w:val="pt-BR"/>
        </w:rPr>
        <w:t xml:space="preserve">: Hai bên chính thức nâng cấp quan hệ lên Đối tác Chiến lược Toàn diện và ra Tuyên bố chung, trong đó nhất trí đưa Khoa học – Công nghệ – Đổi mới sáng tạo – Chuyển đổi số là trụ cột hợp tác; thống nhất triển khai hiệu quả Bản ghi nhớ khoa học, công nghệ năm 2025; tăng cường hợp tác hoạch định chính sách số và y tế số; thúc đẩy các chương trình đào tạo chung và trao đổi nhân lực tập trung vào 5 ngành chiến lược: Trí tuệ nhân tạo, Bán dẫn, Công nghệ sinh học, Dược phẩm và Hàng không vũ trụ. Trong chuyến công tác của Lãnh đạo cấp cao, ta đã ký khoảng 10 thỏa thuận hợp tác ở cấp bộ ngành, địa phương, doanh nghiệp. </w:t>
      </w:r>
    </w:p>
    <w:p w14:paraId="5F9CE60D"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sz w:val="28"/>
          <w:szCs w:val="28"/>
          <w:lang w:val="pt-BR"/>
        </w:rPr>
        <w:t xml:space="preserve">Ngoài ra, ta đã thúc đẩy ký kết với các khuôn khổ hợp tác với các đối tác khác ở Châu Âu có những thế mạnh riêng như </w:t>
      </w:r>
      <w:r w:rsidRPr="003D5FA9">
        <w:rPr>
          <w:rFonts w:ascii="Times New Roman" w:eastAsia="Times New Roman" w:hAnsi="Times New Roman" w:cs="Times New Roman"/>
          <w:sz w:val="28"/>
          <w:szCs w:val="28"/>
          <w:u w:val="single"/>
          <w:lang w:val="pt-BR"/>
        </w:rPr>
        <w:t>Estonia, Belarus, Thụy Điển, Phần Lan, Bulgaria, Kazakhstan</w:t>
      </w:r>
      <w:r w:rsidRPr="003D5FA9">
        <w:rPr>
          <w:rFonts w:ascii="Times New Roman" w:eastAsia="Times New Roman" w:hAnsi="Times New Roman" w:cs="Times New Roman"/>
          <w:sz w:val="28"/>
          <w:szCs w:val="28"/>
          <w:u w:val="single"/>
          <w:vertAlign w:val="superscript"/>
          <w:lang w:val="pt-BR"/>
        </w:rPr>
        <w:footnoteReference w:id="10"/>
      </w:r>
      <w:r w:rsidRPr="003D5FA9">
        <w:rPr>
          <w:rFonts w:ascii="Times New Roman" w:eastAsia="Times New Roman" w:hAnsi="Times New Roman" w:cs="Times New Roman"/>
          <w:sz w:val="28"/>
          <w:szCs w:val="28"/>
          <w:lang w:val="pt-BR"/>
        </w:rPr>
        <w:t xml:space="preserve"> trong </w:t>
      </w:r>
      <w:r w:rsidRPr="003D5FA9">
        <w:rPr>
          <w:rFonts w:ascii="Times New Roman" w:eastAsia="Times New Roman" w:hAnsi="Times New Roman" w:cs="Times New Roman"/>
          <w:sz w:val="28"/>
          <w:szCs w:val="28"/>
          <w:lang w:val="vi-VN"/>
        </w:rPr>
        <w:t>chuyển đổi số, kinh tế số</w:t>
      </w:r>
      <w:r w:rsidRPr="003D5FA9">
        <w:rPr>
          <w:rFonts w:ascii="Times New Roman" w:eastAsia="Times New Roman" w:hAnsi="Times New Roman" w:cs="Times New Roman"/>
          <w:sz w:val="28"/>
          <w:szCs w:val="28"/>
          <w:lang w:val="pt-BR"/>
        </w:rPr>
        <w:t>,</w:t>
      </w:r>
      <w:r w:rsidRPr="003D5FA9">
        <w:rPr>
          <w:rFonts w:ascii="Times New Roman" w:eastAsia="Times New Roman" w:hAnsi="Times New Roman" w:cs="Times New Roman"/>
          <w:sz w:val="28"/>
          <w:szCs w:val="28"/>
          <w:lang w:val="vi-VN"/>
        </w:rPr>
        <w:t xml:space="preserve"> </w:t>
      </w:r>
      <w:r w:rsidRPr="003D5FA9">
        <w:rPr>
          <w:rFonts w:ascii="Times New Roman" w:eastAsia="Times New Roman" w:hAnsi="Times New Roman" w:cs="Times New Roman"/>
          <w:sz w:val="28"/>
          <w:szCs w:val="28"/>
          <w:lang w:val="pt-BR"/>
        </w:rPr>
        <w:t xml:space="preserve">đổi mới sáng tạo; Vận động </w:t>
      </w:r>
      <w:r w:rsidRPr="003D5FA9">
        <w:rPr>
          <w:rFonts w:ascii="Times New Roman" w:eastAsia="Times New Roman" w:hAnsi="Times New Roman" w:cs="Times New Roman"/>
          <w:sz w:val="28"/>
          <w:szCs w:val="28"/>
          <w:u w:val="single"/>
          <w:lang w:val="vi-VN"/>
        </w:rPr>
        <w:t>Thụy Sỹ</w:t>
      </w:r>
      <w:r w:rsidRPr="003D5FA9">
        <w:rPr>
          <w:rFonts w:ascii="Times New Roman" w:eastAsia="Times New Roman" w:hAnsi="Times New Roman" w:cs="Times New Roman"/>
          <w:sz w:val="28"/>
          <w:szCs w:val="28"/>
          <w:lang w:val="pt-BR"/>
        </w:rPr>
        <w:t xml:space="preserve"> </w:t>
      </w:r>
      <w:r w:rsidRPr="003D5FA9">
        <w:rPr>
          <w:rFonts w:ascii="Times New Roman" w:eastAsia="Times New Roman" w:hAnsi="Times New Roman" w:cs="Times New Roman"/>
          <w:sz w:val="28"/>
          <w:szCs w:val="28"/>
          <w:lang w:val="vi-VN"/>
        </w:rPr>
        <w:t>thông qua Chương trình hợp tác phát triển Việt Nam – Thụy Sỹ giai đoạn 2025 – 2028</w:t>
      </w:r>
      <w:r w:rsidRPr="003D5FA9">
        <w:rPr>
          <w:rFonts w:ascii="Times New Roman" w:eastAsia="Times New Roman" w:hAnsi="Times New Roman" w:cs="Times New Roman"/>
          <w:sz w:val="28"/>
          <w:szCs w:val="28"/>
          <w:lang w:val="pt-BR"/>
        </w:rPr>
        <w:t>.</w:t>
      </w:r>
    </w:p>
    <w:p w14:paraId="21327610"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i/>
          <w:iCs/>
          <w:sz w:val="28"/>
          <w:szCs w:val="28"/>
          <w:lang w:val="pt-BR"/>
        </w:rPr>
      </w:pPr>
      <w:r w:rsidRPr="003D5FA9">
        <w:rPr>
          <w:rFonts w:ascii="Times New Roman" w:eastAsia="Times New Roman" w:hAnsi="Times New Roman" w:cs="Times New Roman"/>
          <w:i/>
          <w:iCs/>
          <w:sz w:val="28"/>
          <w:szCs w:val="28"/>
          <w:lang w:val="pt-BR"/>
        </w:rPr>
        <w:t>d) Hợp tác với Đông Nam Á – Nam Á – Nam Thái Bình Dương</w:t>
      </w:r>
    </w:p>
    <w:p w14:paraId="27E80886"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sz w:val="28"/>
          <w:szCs w:val="28"/>
          <w:lang w:val="pt-BR"/>
        </w:rPr>
        <w:lastRenderedPageBreak/>
        <w:t>Ta đã thúc đẩy tạo khuôn khổ pháp lý và định hướng hợp tác mới, ký khoảng 13 thỏa thuận hợp tác mới giữa các bộ, ngành và doanh nghiệp trong các lĩnh vực khoa học, công nghệ tập trung vào chuyển đổi số, ứng phó với biến đổi khí hậu, khoa học công nghệ, năng lượng tái tạo.</w:t>
      </w:r>
    </w:p>
    <w:p w14:paraId="0B9BC5D0"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sz w:val="28"/>
          <w:szCs w:val="28"/>
          <w:u w:val="single"/>
          <w:lang w:val="pt-BR"/>
        </w:rPr>
        <w:t>Với Singapore</w:t>
      </w:r>
      <w:r w:rsidRPr="003D5FA9">
        <w:rPr>
          <w:rFonts w:ascii="Times New Roman" w:eastAsia="Times New Roman" w:hAnsi="Times New Roman" w:cs="Times New Roman"/>
          <w:sz w:val="28"/>
          <w:szCs w:val="28"/>
          <w:lang w:val="pt-BR"/>
        </w:rPr>
        <w:t>, đối tác có trình độ phát triển khoa học, công nghệ, đổi mới sáng tạo cao nhất trong khu vực Đông Nam Á:  Trong chuyến thăm của Tổng Bí thư Tô Lâm tháng 3/2025, hai nước đã nâng cấp quan hệ lên Đối tác chiến lược toàn diện, nhất trí tăng cường hợp tác trong lĩnh vực số (kết nối số, luồng dữ liệu xuyên biên giới, thiết lập “hộp cát dữ liệu” trong các khu VSIP) và công nghệ mới nổi (trí tuệ nhân tạo AI và an ninh mạng). Trong chuyến thăm của Thủ tướng Singapore Lawrence Wong tháng 3/2025, hai bên đã ký Bản ghi nhớ về hợp tác trong lĩnh vực phát triển số và đổi mới sáng tạo giữa Bộ Khoa học và Công nghệ Việt Nam với Bộ Phát triển số và Thông tin Singapore.</w:t>
      </w:r>
    </w:p>
    <w:p w14:paraId="72007AD3"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sz w:val="28"/>
          <w:szCs w:val="28"/>
          <w:u w:val="single"/>
          <w:lang w:val="pt-BR"/>
        </w:rPr>
        <w:t>Với Australia</w:t>
      </w:r>
      <w:r w:rsidRPr="003D5FA9">
        <w:rPr>
          <w:rFonts w:ascii="Times New Roman" w:eastAsia="Times New Roman" w:hAnsi="Times New Roman" w:cs="Times New Roman"/>
          <w:sz w:val="28"/>
          <w:szCs w:val="28"/>
          <w:lang w:val="pt-BR"/>
        </w:rPr>
        <w:t>: Hai bên nhất trí tạo đột phá hơn nữa trong hợp tác khoa học-công nghệ, chuyển đổi số, chuyển đổi xanh, nông nghiệp và ứng phó với biến đổi khí hậu. Trung tâm Công nghệ Chiến lược Australia-Việt Nam (AVSTC) được thành lập tại Hà Nội (tháng 6/2025) góp phần thúc đẩy hợp tác song phương trong các lĩnh vực công nghệ chiến lược, chuyển đổi số, an ninh mạng, 5G.</w:t>
      </w:r>
    </w:p>
    <w:p w14:paraId="1774EEAF"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sz w:val="28"/>
          <w:szCs w:val="28"/>
          <w:u w:val="single"/>
          <w:lang w:val="pt-BR"/>
        </w:rPr>
        <w:t>Với New Zealand</w:t>
      </w:r>
      <w:r w:rsidRPr="003D5FA9">
        <w:rPr>
          <w:rFonts w:ascii="Times New Roman" w:eastAsia="Times New Roman" w:hAnsi="Times New Roman" w:cs="Times New Roman"/>
          <w:sz w:val="28"/>
          <w:szCs w:val="28"/>
          <w:lang w:val="pt-BR"/>
        </w:rPr>
        <w:t>: Trong chuyến thăm của Thủ tướng New Zealand Christopher Luxon (tháng 2/2025), hai nước thiết lập Quan hệ đối tác chiến lược toàn diện, trong đó ứng phó với biến đổi khí hậu, khoa học công nghệ là một trong 5 trụ cột hợp tác chính. Hai bên nhất trí tiếp tục tăng cường hợp tác về nông nghiệp nhằm hỗ trợ Việt Nam trở thành nước sản xuất nông nghiệp hiện đại và thích ứng với biến đổi khí hậu.</w:t>
      </w:r>
    </w:p>
    <w:p w14:paraId="7BF57721"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i/>
          <w:iCs/>
          <w:sz w:val="28"/>
          <w:szCs w:val="28"/>
          <w:lang w:val="pt-BR"/>
        </w:rPr>
      </w:pPr>
      <w:r w:rsidRPr="003D5FA9">
        <w:rPr>
          <w:rFonts w:ascii="Times New Roman" w:eastAsia="Times New Roman" w:hAnsi="Times New Roman" w:cs="Times New Roman"/>
          <w:i/>
          <w:iCs/>
          <w:sz w:val="28"/>
          <w:szCs w:val="28"/>
          <w:lang w:val="pt-BR"/>
        </w:rPr>
        <w:t>e) Hợp tác với Trung Đông - Châu Phi:</w:t>
      </w:r>
    </w:p>
    <w:p w14:paraId="12E818BD" w14:textId="77777777" w:rsidR="002A7701" w:rsidRPr="003D5FA9" w:rsidRDefault="002A7701" w:rsidP="002A7701">
      <w:pPr>
        <w:widowControl w:val="0"/>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bCs/>
          <w:sz w:val="28"/>
          <w:szCs w:val="28"/>
          <w:lang w:val="pt-BR"/>
        </w:rPr>
        <w:t xml:space="preserve">Hợp tác với Trung Đông - Châu Phi tập trung vào công nghệ cơ bản và hướng đi mới phù hợp với nhu cầu phát triển của khu vực, đồng thời tạo cơ hội quảng bá năng lực khoa học công nghệ của Việt Nam tại các thị trường mới nổi. Chính phủ đã chỉ đạo Bộ Ngoại giaođã hoàn thiện và trình 02 Đề án phát triển quan hệ với khu vực Trung Đông và Châu Phi giai đoạn 2025-2030, tầm nhìn đến 2035, trong đó khoa học công nghệ, đổi mới sáng tạo và chuyển đổi số được xác định là cấu phần </w:t>
      </w:r>
      <w:r w:rsidRPr="003D5FA9">
        <w:rPr>
          <w:rFonts w:ascii="Times New Roman" w:eastAsia="Times New Roman" w:hAnsi="Times New Roman" w:cs="Times New Roman"/>
          <w:sz w:val="28"/>
          <w:szCs w:val="28"/>
          <w:lang w:val="pt-BR"/>
        </w:rPr>
        <w:t xml:space="preserve">quan trọng. </w:t>
      </w:r>
    </w:p>
    <w:p w14:paraId="6D09C5ED" w14:textId="44C79DC4" w:rsidR="002A7701" w:rsidRPr="003D5FA9" w:rsidRDefault="00E82664" w:rsidP="002A7701">
      <w:pPr>
        <w:spacing w:before="120" w:after="120" w:line="240" w:lineRule="auto"/>
        <w:ind w:firstLine="567"/>
        <w:contextualSpacing/>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sz w:val="28"/>
          <w:szCs w:val="28"/>
          <w:lang w:val="pt-BR"/>
        </w:rPr>
        <w:t>(</w:t>
      </w:r>
      <w:r w:rsidR="002A7701" w:rsidRPr="003D5FA9">
        <w:rPr>
          <w:rFonts w:ascii="Times New Roman" w:eastAsia="Times New Roman" w:hAnsi="Times New Roman" w:cs="Times New Roman"/>
          <w:sz w:val="28"/>
          <w:szCs w:val="28"/>
          <w:lang w:val="pt-BR"/>
        </w:rPr>
        <w:t>2</w:t>
      </w:r>
      <w:r w:rsidRPr="003D5FA9">
        <w:rPr>
          <w:rFonts w:ascii="Times New Roman" w:eastAsia="Times New Roman" w:hAnsi="Times New Roman" w:cs="Times New Roman"/>
          <w:sz w:val="28"/>
          <w:szCs w:val="28"/>
          <w:lang w:val="pt-BR"/>
        </w:rPr>
        <w:t>)</w:t>
      </w:r>
      <w:r w:rsidR="002A7701" w:rsidRPr="003D5FA9">
        <w:rPr>
          <w:rFonts w:ascii="Times New Roman" w:eastAsia="Times New Roman" w:hAnsi="Times New Roman" w:cs="Times New Roman"/>
          <w:sz w:val="28"/>
          <w:szCs w:val="28"/>
          <w:lang w:val="pt-BR"/>
        </w:rPr>
        <w:t>. Chủ động, tích cực tham gia, thúc đẩy các nội dung hợp tác về khoa học, công nghệ, đổi mới sáng tạo tại các khuôn khổ hợp tác đa phương; được quốc tế ghi nhận và đánh giá cao</w:t>
      </w:r>
    </w:p>
    <w:p w14:paraId="2AFB08F0" w14:textId="77777777" w:rsidR="002A7701" w:rsidRPr="003D5FA9" w:rsidRDefault="002A7701" w:rsidP="002A7701">
      <w:pPr>
        <w:spacing w:before="120" w:after="120" w:line="240" w:lineRule="auto"/>
        <w:ind w:firstLine="567"/>
        <w:jc w:val="both"/>
        <w:rPr>
          <w:rFonts w:ascii="Times New Roman" w:eastAsia="Times New Roman" w:hAnsi="Times New Roman" w:cs="Times New Roman"/>
          <w:sz w:val="28"/>
          <w:szCs w:val="28"/>
          <w:lang w:val="pt-BR"/>
        </w:rPr>
      </w:pPr>
      <w:r w:rsidRPr="003D5FA9">
        <w:rPr>
          <w:rFonts w:ascii="Times New Roman" w:eastAsia="Times New Roman" w:hAnsi="Times New Roman" w:cs="Times New Roman"/>
          <w:sz w:val="28"/>
          <w:szCs w:val="28"/>
          <w:lang w:val="pt-BR"/>
        </w:rPr>
        <w:t>Nổi bật có việc Việt Nam chủ trì tổ chức Lễ mở ký “Công ước Hà Nội” – Công ước Liên Hợp Quốc về chống tội phạm mạng tại Hà Nội (25-26/10). Thủ tướng chính phủ Phạm Minh Chính nhấn mạnh không nước nào đủ sức đơn độc đấu tranh với tội phạm mạng và đề xuất sáng kiến “5 đẩy mạnh” nhằm cùng thực thi Công ước, đảm bảo “không ai bị bỏ lại phía sau trong kỷ nguyên số”. Sự kiện quốc tế này có sự tham gia của nhiều quốc gia và tổ chức, là dấu ấn quan trọng của Việt Nam trên bản đồ hợp tác quốc tế về thế giới số an toàn.</w:t>
      </w:r>
    </w:p>
    <w:p w14:paraId="7B92B221" w14:textId="77777777" w:rsidR="002A7701" w:rsidRPr="003D5FA9" w:rsidRDefault="002A7701" w:rsidP="002A7701">
      <w:pPr>
        <w:spacing w:before="120" w:after="120" w:line="240" w:lineRule="auto"/>
        <w:ind w:firstLine="567"/>
        <w:jc w:val="both"/>
        <w:rPr>
          <w:rFonts w:ascii="Times New Roman" w:eastAsia="Times New Roman" w:hAnsi="Times New Roman" w:cs="Times New Roman"/>
          <w:sz w:val="28"/>
          <w:szCs w:val="28"/>
          <w:lang w:val="vi-VN"/>
        </w:rPr>
      </w:pPr>
      <w:r w:rsidRPr="003D5FA9">
        <w:rPr>
          <w:rFonts w:ascii="Times New Roman" w:eastAsia="Times New Roman" w:hAnsi="Times New Roman" w:cs="Times New Roman"/>
          <w:sz w:val="28"/>
          <w:szCs w:val="28"/>
          <w:lang w:val="pt-BR"/>
        </w:rPr>
        <w:lastRenderedPageBreak/>
        <w:t>Tại các cơ chế đa phương, ta thúc đẩy các sáng kiến</w:t>
      </w:r>
      <w:r w:rsidRPr="003D5FA9">
        <w:rPr>
          <w:rFonts w:ascii="Times New Roman" w:eastAsia="Times New Roman" w:hAnsi="Times New Roman" w:cs="Times New Roman"/>
          <w:sz w:val="28"/>
          <w:szCs w:val="28"/>
          <w:lang w:val="vi-VN"/>
        </w:rPr>
        <w:t xml:space="preserve">, tận dụng và thu hút các nguồn lực quốc tế; tham gia định hình khuôn khổ hợp tác trong lĩnh vực khoa học, công nghệ. Cụ thể: Tại </w:t>
      </w:r>
      <w:r w:rsidRPr="003D5FA9">
        <w:rPr>
          <w:rFonts w:ascii="Times New Roman" w:eastAsia="Times New Roman" w:hAnsi="Times New Roman" w:cs="Times New Roman"/>
          <w:b/>
          <w:bCs/>
          <w:sz w:val="28"/>
          <w:szCs w:val="28"/>
          <w:lang w:val="vi-VN"/>
        </w:rPr>
        <w:t>Liên hợp quốc</w:t>
      </w:r>
      <w:r w:rsidRPr="003D5FA9">
        <w:rPr>
          <w:rFonts w:ascii="Times New Roman" w:eastAsia="Times New Roman" w:hAnsi="Times New Roman" w:cs="Times New Roman"/>
          <w:sz w:val="28"/>
          <w:szCs w:val="28"/>
          <w:lang w:val="vi-VN"/>
        </w:rPr>
        <w:t xml:space="preserve">, </w:t>
      </w:r>
      <w:r w:rsidRPr="003D5FA9">
        <w:rPr>
          <w:rFonts w:ascii="Times New Roman" w:eastAsia="Times New Roman" w:hAnsi="Times New Roman" w:cs="Times New Roman"/>
          <w:spacing w:val="-4"/>
          <w:sz w:val="28"/>
          <w:szCs w:val="28"/>
          <w:lang w:val="vi-VN"/>
        </w:rPr>
        <w:t xml:space="preserve">tham dự Phiên họp thứ 11 của nhóm công tác mở về An ninh Công nghệ Thông tin - truyền thông. Trong đó, đoàn ta đã phối hợp với Latvia xây dựng và thúc đẩy sáng kiến Chương trình LHQ về Khả năng chống chịu trên không gian mạng trong khuôn khổ Viện Nghiên cứu Giải trừ quân bị Liên hợp quốc (UNIDIR) với mục tiêu sáng kiến sẽ là kết quả cụ thể của tiến trình thảo luận tại OEWG, tạo điều kiện để triển khai các kết quả thảo luận về nâng cao năng lực trong cơ chế mới. Sáng kiến nhận được sự quan tâm, ủng hộ của nhiều nước đang phát triển khu vực châu Á, châu Phi. </w:t>
      </w:r>
      <w:r w:rsidRPr="003D5FA9">
        <w:rPr>
          <w:rFonts w:ascii="Times New Roman" w:eastAsia="Times New Roman" w:hAnsi="Times New Roman" w:cs="Times New Roman"/>
          <w:sz w:val="28"/>
          <w:szCs w:val="28"/>
          <w:lang w:val="vi-VN"/>
        </w:rPr>
        <w:t xml:space="preserve"> Tại các cơ chế </w:t>
      </w:r>
      <w:r w:rsidRPr="003D5FA9">
        <w:rPr>
          <w:rFonts w:ascii="Times New Roman" w:eastAsia="Times New Roman" w:hAnsi="Times New Roman" w:cs="Times New Roman"/>
          <w:b/>
          <w:bCs/>
          <w:sz w:val="28"/>
          <w:szCs w:val="28"/>
          <w:lang w:val="vi-VN"/>
        </w:rPr>
        <w:t>Mê Công</w:t>
      </w:r>
      <w:r w:rsidRPr="003D5FA9">
        <w:rPr>
          <w:rFonts w:ascii="Times New Roman" w:eastAsia="Times New Roman" w:hAnsi="Times New Roman" w:cs="Times New Roman"/>
          <w:sz w:val="28"/>
          <w:szCs w:val="28"/>
          <w:lang w:val="vi-VN"/>
        </w:rPr>
        <w:t xml:space="preserve">, phối hợp với Úc xây dựng chương trình Đối tác Mê Công-Úc giai đoạn 2 với trọng tâm ứng dụng AI trong dự báo thiên tai và hệ thống cảnh báo sớm. Cùng Hàn Quốc xây dựng Kế hoạch hành động MKC 2026-2030 với nội dung chuyển đổi số, kết nối thông minh. Tại </w:t>
      </w:r>
      <w:r w:rsidRPr="003D5FA9">
        <w:rPr>
          <w:rFonts w:ascii="Times New Roman" w:eastAsia="Times New Roman" w:hAnsi="Times New Roman" w:cs="Times New Roman"/>
          <w:b/>
          <w:bCs/>
          <w:sz w:val="28"/>
          <w:szCs w:val="28"/>
          <w:lang w:val="vi-VN"/>
        </w:rPr>
        <w:t>APEC</w:t>
      </w:r>
      <w:r w:rsidRPr="003D5FA9">
        <w:rPr>
          <w:rFonts w:ascii="Times New Roman" w:eastAsia="Times New Roman" w:hAnsi="Times New Roman" w:cs="Times New Roman"/>
          <w:sz w:val="28"/>
          <w:szCs w:val="28"/>
          <w:lang w:val="vi-VN"/>
        </w:rPr>
        <w:t xml:space="preserve">, đóng góp xây dựng </w:t>
      </w:r>
      <w:r w:rsidRPr="003D5FA9">
        <w:rPr>
          <w:rFonts w:ascii="Times New Roman" w:eastAsia="Times New Roman" w:hAnsi="Times New Roman" w:cs="Times New Roman"/>
          <w:b/>
          <w:bCs/>
          <w:sz w:val="28"/>
          <w:szCs w:val="28"/>
          <w:lang w:val="vi-VN"/>
        </w:rPr>
        <w:t>“Sáng kiến của APEC về trí tuệ nhân tạo”</w:t>
      </w:r>
      <w:r w:rsidRPr="003D5FA9">
        <w:rPr>
          <w:rFonts w:ascii="Times New Roman" w:eastAsia="Times New Roman" w:hAnsi="Times New Roman" w:cs="Times New Roman"/>
          <w:sz w:val="28"/>
          <w:szCs w:val="28"/>
          <w:lang w:val="vi-VN"/>
        </w:rPr>
        <w:t xml:space="preserve"> với phương hướng chính sách giúp các nền kinh tế thành viên cùng tham gia vào quá trình chuyển đổi AI và chia sẻ lợi ích từ quá trình này, trong đó nhấn mạnh đào tạo nhân lực và chuyển giao công nghệ. Tại </w:t>
      </w:r>
      <w:r w:rsidRPr="003D5FA9">
        <w:rPr>
          <w:rFonts w:ascii="Times New Roman" w:eastAsia="Times New Roman" w:hAnsi="Times New Roman" w:cs="Times New Roman"/>
          <w:b/>
          <w:bCs/>
          <w:sz w:val="28"/>
          <w:szCs w:val="28"/>
          <w:lang w:val="vi-VN"/>
        </w:rPr>
        <w:t>ASEAN</w:t>
      </w:r>
      <w:r w:rsidRPr="003D5FA9">
        <w:rPr>
          <w:rFonts w:ascii="Times New Roman" w:eastAsia="Times New Roman" w:hAnsi="Times New Roman" w:cs="Times New Roman"/>
          <w:sz w:val="28"/>
          <w:szCs w:val="28"/>
          <w:lang w:val="vi-VN"/>
        </w:rPr>
        <w:t>, thúc đẩy nội dung hợp tác khoa học, công nghệ trong các khuôn khổ hợp tác chuyên ngành của ASEAN và giữa ASEAN với các đối tác (Hoa Kỳ, Trung Quốc, Australia, New Zealand); phối hợp trong đàm phán cơ bản hoàn tất Hiệp định khung kinh tế số (DEFA), và thúc đẩy kết nối Lưới điện ASEAN (APG).</w:t>
      </w:r>
    </w:p>
    <w:p w14:paraId="61F3A311" w14:textId="2ED51A60" w:rsidR="007F7441" w:rsidRPr="003D5FA9" w:rsidRDefault="008C0CF8" w:rsidP="007F7441">
      <w:pPr>
        <w:spacing w:before="120" w:after="0"/>
        <w:ind w:firstLine="720"/>
        <w:jc w:val="both"/>
        <w:rPr>
          <w:rFonts w:ascii="Times New Roman" w:hAnsi="Times New Roman" w:cs="Times New Roman"/>
          <w:b/>
          <w:bCs/>
          <w:sz w:val="28"/>
          <w:szCs w:val="28"/>
        </w:rPr>
      </w:pPr>
      <w:r w:rsidRPr="003D5FA9">
        <w:rPr>
          <w:rFonts w:ascii="Times New Roman" w:hAnsi="Times New Roman" w:cs="Times New Roman"/>
          <w:b/>
          <w:bCs/>
          <w:sz w:val="28"/>
          <w:szCs w:val="28"/>
          <w:lang w:val="vi-VN"/>
        </w:rPr>
        <w:t>6</w:t>
      </w:r>
      <w:r w:rsidR="00D95E10" w:rsidRPr="003D5FA9">
        <w:rPr>
          <w:rFonts w:ascii="Times New Roman" w:hAnsi="Times New Roman" w:cs="Times New Roman"/>
          <w:b/>
          <w:bCs/>
          <w:sz w:val="28"/>
          <w:szCs w:val="28"/>
        </w:rPr>
        <w:t xml:space="preserve">. </w:t>
      </w:r>
      <w:r w:rsidR="007F7441" w:rsidRPr="003D5FA9">
        <w:rPr>
          <w:rFonts w:ascii="Times New Roman" w:hAnsi="Times New Roman" w:cs="Times New Roman"/>
          <w:b/>
          <w:bCs/>
          <w:sz w:val="28"/>
          <w:szCs w:val="28"/>
        </w:rPr>
        <w:t xml:space="preserve"> </w:t>
      </w:r>
      <w:r w:rsidR="0026480D" w:rsidRPr="003D5FA9">
        <w:rPr>
          <w:rFonts w:ascii="Times New Roman" w:hAnsi="Times New Roman" w:cs="Times New Roman"/>
          <w:b/>
          <w:bCs/>
          <w:sz w:val="28"/>
          <w:szCs w:val="28"/>
        </w:rPr>
        <w:t>Về tài chính, kinh phí</w:t>
      </w:r>
      <w:r w:rsidR="007F7441" w:rsidRPr="003D5FA9">
        <w:rPr>
          <w:rFonts w:ascii="Times New Roman" w:hAnsi="Times New Roman" w:cs="Times New Roman"/>
          <w:b/>
          <w:bCs/>
          <w:sz w:val="28"/>
          <w:szCs w:val="28"/>
        </w:rPr>
        <w:t xml:space="preserve"> cho KH, CN, ĐMST và CĐS</w:t>
      </w:r>
    </w:p>
    <w:p w14:paraId="033E5FA4" w14:textId="7B54A2A0"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3D5FA9">
        <w:rPr>
          <w:rFonts w:ascii="Times New Roman" w:eastAsia="Times New Roman" w:hAnsi="Times New Roman" w:cs="Times New Roman"/>
          <w:b/>
          <w:bCs/>
          <w:iCs/>
          <w:color w:val="000000" w:themeColor="text1"/>
          <w:sz w:val="28"/>
          <w:szCs w:val="28"/>
          <w:lang w:val="vi-VN"/>
        </w:rPr>
        <w:t>Triển khai Nghị quyết số 57-NQ/TW và Nghị quyết số 71/NQ-CP</w:t>
      </w:r>
    </w:p>
    <w:p w14:paraId="0AE7D23A"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Bộ KH&amp;CN</w:t>
      </w:r>
      <w:r w:rsidRPr="003D5FA9">
        <w:rPr>
          <w:rFonts w:ascii="Times New Roman" w:eastAsia="Times New Roman" w:hAnsi="Times New Roman" w:cs="Times New Roman"/>
          <w:iCs/>
          <w:color w:val="000000" w:themeColor="text1"/>
          <w:sz w:val="28"/>
          <w:szCs w:val="28"/>
        </w:rPr>
        <w:t xml:space="preserve"> </w:t>
      </w:r>
      <w:r w:rsidRPr="003D5FA9">
        <w:rPr>
          <w:rFonts w:ascii="Times New Roman" w:eastAsia="Times New Roman" w:hAnsi="Times New Roman" w:cs="Times New Roman"/>
          <w:iCs/>
          <w:color w:val="000000" w:themeColor="text1"/>
          <w:sz w:val="28"/>
          <w:szCs w:val="28"/>
          <w:lang w:val="vi-VN"/>
        </w:rPr>
        <w:t>đã ban hành Công văn số 139/BKHCN-KHTC ngày 25/4/2025 hướng dẫn các Bộ, ngành, địa phương đăng ký nhiệm vụ, dự án khoa học, công nghệ, đổi mới sáng tạo và chuyển đổi số (KHCN, ĐMST, CĐS) để triển khai các nhiệm vụ cấp bách thực hiện Nghị quyết số 57 và Nghị quyết số 71; Công văn số 1815/BKHCN-KHTC ngày 26/5/2025 hướng dẫn bổ sung, làm rõ biểu mẫu, nội hàm, nội dung thông tin cần cung cấp để các Bộ, ngành, địa phương rà soát, đăng ký nhiệm vụ, dự án phục vụ việc tổng hợp, bố trí vốn thực hiện.</w:t>
      </w:r>
    </w:p>
    <w:p w14:paraId="7A789EA9" w14:textId="50D6E3BE"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3D5FA9">
        <w:rPr>
          <w:rFonts w:ascii="Times New Roman" w:eastAsia="Times New Roman" w:hAnsi="Times New Roman" w:cs="Times New Roman"/>
          <w:b/>
          <w:bCs/>
          <w:iCs/>
          <w:color w:val="000000" w:themeColor="text1"/>
          <w:sz w:val="28"/>
          <w:szCs w:val="28"/>
          <w:lang w:val="vi-VN"/>
        </w:rPr>
        <w:t>Triển khai Kế hoạch số 02-KH/BCĐTW ngày 19/6/2025</w:t>
      </w:r>
    </w:p>
    <w:p w14:paraId="006BB4F2"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Để kịp thời tổng hợp, bố trí kinh phí thực hiện các nhiệm vụ về xây dựng cơ sở dữ liệu quốc gia, cơ sở dữ liệu chuyên ngành, Bộ KHCN đã ban hành Công văn số 2738/BKHCN-KHTC ngày 26/6/2025 hướng dẫn biểu mẫu, nội dung đăng ký nhiệm vụ và kinh phí thực hiện Kế hoạch số 02; Công văn số 2919/BKHCN-KHTC ngày 03/7/2025 hướng dẫn bổ sung, nêu rõ danh mục nhiệm vụ của các Bộ, ngành, địa phương được giao tại Kế hoạch số 02 làm căn cứ đăng ký nhiệm vụ và kinh phí triển khai.</w:t>
      </w:r>
    </w:p>
    <w:p w14:paraId="3F929E26" w14:textId="5054B1AB"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3D5FA9">
        <w:rPr>
          <w:rFonts w:ascii="Times New Roman" w:eastAsia="Times New Roman" w:hAnsi="Times New Roman" w:cs="Times New Roman"/>
          <w:b/>
          <w:bCs/>
          <w:iCs/>
          <w:color w:val="000000" w:themeColor="text1"/>
          <w:sz w:val="28"/>
          <w:szCs w:val="28"/>
          <w:lang w:val="vi-VN"/>
        </w:rPr>
        <w:t>Triển khai các nền tảng số dùng chung</w:t>
      </w:r>
    </w:p>
    <w:p w14:paraId="76C9F6F6"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Bộ KHCN đã ban hành Quyết định số 2618/QĐ-BKHCN ngày 11/9/2025 phê duyệt Danh mục và kế hoạch triển khai 84 nền tảng số quốc gia và nền tảng dùng chung của ngành, lĩnh vực, vùng, kèm tiến độ và cơ quan chủ trì cụ thể.</w:t>
      </w:r>
    </w:p>
    <w:p w14:paraId="3D142F6E"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lastRenderedPageBreak/>
        <w:t xml:space="preserve">Về kinh phí, Bộ đã có Công văn số 4638/BKHCN-KHTC ngày 12/9/2025 khảo sát nhu cầu kinh phí năm 2025–2026 của các Bộ, cơ quan trung ương để triển khai nền tảng số dùng chung; đến nay </w:t>
      </w:r>
      <w:r w:rsidRPr="003D5FA9">
        <w:rPr>
          <w:rFonts w:ascii="Times New Roman" w:eastAsia="Times New Roman" w:hAnsi="Times New Roman" w:cs="Times New Roman"/>
          <w:b/>
          <w:bCs/>
          <w:iCs/>
          <w:color w:val="000000" w:themeColor="text1"/>
          <w:sz w:val="28"/>
          <w:szCs w:val="28"/>
          <w:lang w:val="vi-VN"/>
        </w:rPr>
        <w:t>09</w:t>
      </w:r>
      <w:r w:rsidRPr="003D5FA9">
        <w:rPr>
          <w:rFonts w:ascii="Times New Roman" w:eastAsia="Times New Roman" w:hAnsi="Times New Roman" w:cs="Times New Roman"/>
          <w:iCs/>
          <w:color w:val="000000" w:themeColor="text1"/>
          <w:sz w:val="28"/>
          <w:szCs w:val="28"/>
          <w:lang w:val="vi-VN"/>
        </w:rPr>
        <w:t xml:space="preserve"> Bộ, ngành đã đăng ký nhu cầu kinh phí nhưng chưa hoàn thiện hồ sơ thủ tục đăng ký vốn;</w:t>
      </w:r>
    </w:p>
    <w:p w14:paraId="4A6C76BC"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lang w:val="vi-VN"/>
        </w:rPr>
        <w:t xml:space="preserve">Tiếp tục Công văn số 6005/BKHCN-KHTC ngày 24/10/2025 đôn đốc các Bộ, ngành được giao xây dựng nền tảng số quốc gia, nền tảng dùng chung bổ sung đăng ký nhu cầu, hoàn thiện hồ sơ gửi Bộ KHCN tổng hợp, tham mưu bố trí kinh phí thực hiện theo Quyết định số 2618/QĐ-BKHCN. </w:t>
      </w:r>
    </w:p>
    <w:p w14:paraId="3E13FA17" w14:textId="3F1161F8"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b/>
          <w:bCs/>
          <w:iCs/>
          <w:color w:val="000000" w:themeColor="text1"/>
          <w:sz w:val="28"/>
          <w:szCs w:val="28"/>
          <w:lang w:val="vi-VN"/>
        </w:rPr>
      </w:pPr>
      <w:r w:rsidRPr="003D5FA9">
        <w:rPr>
          <w:rFonts w:ascii="Times New Roman" w:eastAsia="Times New Roman" w:hAnsi="Times New Roman" w:cs="Times New Roman"/>
          <w:b/>
          <w:bCs/>
          <w:iCs/>
          <w:color w:val="000000" w:themeColor="text1"/>
          <w:sz w:val="28"/>
          <w:szCs w:val="28"/>
          <w:lang w:val="vi-VN"/>
        </w:rPr>
        <w:t>Kết quả rà soát, phân bổ kinh phí cho KHCN, ĐMST&amp;CĐS bổ sung năm 2025 cho các bộ/ngành/địa phương</w:t>
      </w:r>
    </w:p>
    <w:p w14:paraId="1F6E1E7F"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 xml:space="preserve"> Bộ KH&amp;CN</w:t>
      </w:r>
      <w:r w:rsidRPr="003D5FA9">
        <w:rPr>
          <w:rFonts w:ascii="Times New Roman" w:eastAsia="Times New Roman" w:hAnsi="Times New Roman" w:cs="Times New Roman"/>
          <w:iCs/>
          <w:color w:val="000000" w:themeColor="text1"/>
          <w:sz w:val="28"/>
          <w:szCs w:val="28"/>
        </w:rPr>
        <w:t xml:space="preserve"> </w:t>
      </w:r>
      <w:r w:rsidRPr="003D5FA9">
        <w:rPr>
          <w:rFonts w:ascii="Times New Roman" w:eastAsia="Times New Roman" w:hAnsi="Times New Roman" w:cs="Times New Roman"/>
          <w:iCs/>
          <w:color w:val="000000" w:themeColor="text1"/>
          <w:sz w:val="28"/>
          <w:szCs w:val="28"/>
          <w:lang w:val="vi-VN"/>
        </w:rPr>
        <w:t xml:space="preserve">đã rà soát, đề xuất Bộ Tài chính báo cáo cấp có thẩm quyền phân bổ số kinh phí là </w:t>
      </w:r>
      <w:r w:rsidRPr="003D5FA9">
        <w:rPr>
          <w:rFonts w:ascii="Times New Roman" w:eastAsia="Times New Roman" w:hAnsi="Times New Roman" w:cs="Times New Roman"/>
          <w:b/>
          <w:bCs/>
          <w:iCs/>
          <w:color w:val="000000" w:themeColor="text1"/>
          <w:sz w:val="28"/>
          <w:szCs w:val="28"/>
          <w:lang w:val="vi-VN"/>
        </w:rPr>
        <w:t>16.716,074 tỷ đồng</w:t>
      </w:r>
      <w:r w:rsidRPr="003D5FA9">
        <w:rPr>
          <w:rFonts w:ascii="Times New Roman" w:eastAsia="Times New Roman" w:hAnsi="Times New Roman" w:cs="Times New Roman"/>
          <w:iCs/>
          <w:color w:val="000000" w:themeColor="text1"/>
          <w:sz w:val="28"/>
          <w:szCs w:val="28"/>
          <w:lang w:val="vi-VN"/>
        </w:rPr>
        <w:t xml:space="preserve"> (trong đó chi thường xuyên </w:t>
      </w:r>
      <w:r w:rsidRPr="003D5FA9">
        <w:rPr>
          <w:rFonts w:ascii="Times New Roman" w:eastAsia="Times New Roman" w:hAnsi="Times New Roman" w:cs="Times New Roman"/>
          <w:b/>
          <w:bCs/>
          <w:iCs/>
          <w:color w:val="000000" w:themeColor="text1"/>
          <w:sz w:val="28"/>
          <w:szCs w:val="28"/>
          <w:lang w:val="vi-VN"/>
        </w:rPr>
        <w:t>5.442,474</w:t>
      </w:r>
      <w:r w:rsidRPr="003D5FA9">
        <w:rPr>
          <w:rFonts w:ascii="Times New Roman" w:eastAsia="Times New Roman" w:hAnsi="Times New Roman" w:cs="Times New Roman"/>
          <w:iCs/>
          <w:color w:val="000000" w:themeColor="text1"/>
          <w:sz w:val="28"/>
          <w:szCs w:val="28"/>
          <w:lang w:val="vi-VN"/>
        </w:rPr>
        <w:t xml:space="preserve"> tỷ đồng, chi đầu tư: </w:t>
      </w:r>
      <w:r w:rsidRPr="003D5FA9">
        <w:rPr>
          <w:rFonts w:ascii="Times New Roman" w:eastAsia="Times New Roman" w:hAnsi="Times New Roman" w:cs="Times New Roman"/>
          <w:b/>
          <w:bCs/>
          <w:iCs/>
          <w:color w:val="000000" w:themeColor="text1"/>
          <w:sz w:val="28"/>
          <w:szCs w:val="28"/>
          <w:lang w:val="vi-VN"/>
        </w:rPr>
        <w:t>11.273,600 tỷ</w:t>
      </w:r>
      <w:r w:rsidRPr="003D5FA9">
        <w:rPr>
          <w:rFonts w:ascii="Times New Roman" w:eastAsia="Times New Roman" w:hAnsi="Times New Roman" w:cs="Times New Roman"/>
          <w:iCs/>
          <w:color w:val="000000" w:themeColor="text1"/>
          <w:sz w:val="28"/>
          <w:szCs w:val="28"/>
          <w:lang w:val="vi-VN"/>
        </w:rPr>
        <w:t xml:space="preserve"> đồng) cho </w:t>
      </w:r>
      <w:r w:rsidRPr="003D5FA9">
        <w:rPr>
          <w:rFonts w:ascii="Times New Roman" w:eastAsia="Times New Roman" w:hAnsi="Times New Roman" w:cs="Times New Roman"/>
          <w:b/>
          <w:bCs/>
          <w:iCs/>
          <w:color w:val="000000" w:themeColor="text1"/>
          <w:sz w:val="28"/>
          <w:szCs w:val="28"/>
          <w:lang w:val="vi-VN"/>
        </w:rPr>
        <w:t>26</w:t>
      </w:r>
      <w:r w:rsidRPr="003D5FA9">
        <w:rPr>
          <w:rFonts w:ascii="Times New Roman" w:eastAsia="Times New Roman" w:hAnsi="Times New Roman" w:cs="Times New Roman"/>
          <w:iCs/>
          <w:color w:val="000000" w:themeColor="text1"/>
          <w:sz w:val="28"/>
          <w:szCs w:val="28"/>
          <w:lang w:val="vi-VN"/>
        </w:rPr>
        <w:t xml:space="preserve"> bộ, cơ quan trung ương (</w:t>
      </w:r>
      <w:r w:rsidRPr="003D5FA9">
        <w:rPr>
          <w:rFonts w:ascii="Times New Roman" w:eastAsia="Times New Roman" w:hAnsi="Times New Roman" w:cs="Times New Roman"/>
          <w:b/>
          <w:bCs/>
          <w:iCs/>
          <w:color w:val="000000" w:themeColor="text1"/>
          <w:sz w:val="28"/>
          <w:szCs w:val="28"/>
          <w:lang w:val="vi-VN"/>
        </w:rPr>
        <w:t>14.797,456</w:t>
      </w:r>
      <w:r w:rsidRPr="003D5FA9">
        <w:rPr>
          <w:rFonts w:ascii="Times New Roman" w:eastAsia="Times New Roman" w:hAnsi="Times New Roman" w:cs="Times New Roman"/>
          <w:iCs/>
          <w:color w:val="000000" w:themeColor="text1"/>
          <w:sz w:val="28"/>
          <w:szCs w:val="28"/>
          <w:lang w:val="vi-VN"/>
        </w:rPr>
        <w:t xml:space="preserve"> tỷ đồng) và 20 địa phương (</w:t>
      </w:r>
      <w:r w:rsidRPr="003D5FA9">
        <w:rPr>
          <w:rFonts w:ascii="Times New Roman" w:eastAsia="Times New Roman" w:hAnsi="Times New Roman" w:cs="Times New Roman"/>
          <w:b/>
          <w:bCs/>
          <w:iCs/>
          <w:color w:val="000000" w:themeColor="text1"/>
          <w:sz w:val="28"/>
          <w:szCs w:val="28"/>
          <w:lang w:val="vi-VN"/>
        </w:rPr>
        <w:t>1.918,618</w:t>
      </w:r>
      <w:r w:rsidRPr="003D5FA9">
        <w:rPr>
          <w:rFonts w:ascii="Times New Roman" w:eastAsia="Times New Roman" w:hAnsi="Times New Roman" w:cs="Times New Roman"/>
          <w:iCs/>
          <w:color w:val="000000" w:themeColor="text1"/>
          <w:sz w:val="28"/>
          <w:szCs w:val="28"/>
          <w:lang w:val="vi-VN"/>
        </w:rPr>
        <w:t xml:space="preserve"> tỷ đồng), trong đó: </w:t>
      </w:r>
    </w:p>
    <w:p w14:paraId="5E94B551"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ab/>
        <w:t xml:space="preserve">  + Chia theo tính chất nguồn vốn: </w:t>
      </w:r>
    </w:p>
    <w:p w14:paraId="09FCD3B3"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ab/>
        <w:t xml:space="preserve">Chi Đầu tư phát triển: </w:t>
      </w:r>
      <w:r w:rsidRPr="003D5FA9">
        <w:rPr>
          <w:rFonts w:ascii="Times New Roman" w:eastAsia="Times New Roman" w:hAnsi="Times New Roman" w:cs="Times New Roman"/>
          <w:b/>
          <w:bCs/>
          <w:iCs/>
          <w:color w:val="000000" w:themeColor="text1"/>
          <w:sz w:val="28"/>
          <w:szCs w:val="28"/>
          <w:lang w:val="vi-VN"/>
        </w:rPr>
        <w:t>11.273,600</w:t>
      </w:r>
      <w:r w:rsidRPr="003D5FA9">
        <w:rPr>
          <w:rFonts w:ascii="Times New Roman" w:eastAsia="Times New Roman" w:hAnsi="Times New Roman" w:cs="Times New Roman"/>
          <w:iCs/>
          <w:color w:val="000000" w:themeColor="text1"/>
          <w:sz w:val="28"/>
          <w:szCs w:val="28"/>
          <w:lang w:val="vi-VN"/>
        </w:rPr>
        <w:t xml:space="preserve"> tỷ đồng </w:t>
      </w:r>
    </w:p>
    <w:p w14:paraId="43522363"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ab/>
        <w:t xml:space="preserve">Chi thường xuyên: </w:t>
      </w:r>
      <w:r w:rsidRPr="003D5FA9">
        <w:rPr>
          <w:rFonts w:ascii="Times New Roman" w:eastAsia="Times New Roman" w:hAnsi="Times New Roman" w:cs="Times New Roman"/>
          <w:b/>
          <w:bCs/>
          <w:iCs/>
          <w:color w:val="000000" w:themeColor="text1"/>
          <w:sz w:val="28"/>
          <w:szCs w:val="28"/>
          <w:lang w:val="vi-VN"/>
        </w:rPr>
        <w:t>5.442,474</w:t>
      </w:r>
      <w:r w:rsidRPr="003D5FA9">
        <w:rPr>
          <w:rFonts w:ascii="Times New Roman" w:eastAsia="Times New Roman" w:hAnsi="Times New Roman" w:cs="Times New Roman"/>
          <w:iCs/>
          <w:color w:val="000000" w:themeColor="text1"/>
          <w:sz w:val="28"/>
          <w:szCs w:val="28"/>
          <w:lang w:val="vi-VN"/>
        </w:rPr>
        <w:t xml:space="preserve"> tỷ đồng </w:t>
      </w:r>
    </w:p>
    <w:p w14:paraId="412470FF"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ab/>
        <w:t>+ Chia theo lĩnh vực:</w:t>
      </w:r>
    </w:p>
    <w:p w14:paraId="2E0FACEC"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lang w:val="vi-VN"/>
        </w:rPr>
      </w:pPr>
      <w:r w:rsidRPr="003D5FA9">
        <w:rPr>
          <w:rFonts w:ascii="Times New Roman" w:eastAsia="Times New Roman" w:hAnsi="Times New Roman" w:cs="Times New Roman"/>
          <w:iCs/>
          <w:color w:val="000000" w:themeColor="text1"/>
          <w:sz w:val="28"/>
          <w:szCs w:val="28"/>
          <w:lang w:val="vi-VN"/>
        </w:rPr>
        <w:tab/>
        <w:t xml:space="preserve">Chi KHCN, ĐMST: </w:t>
      </w:r>
      <w:r w:rsidRPr="003D5FA9">
        <w:rPr>
          <w:rFonts w:ascii="Times New Roman" w:eastAsia="Times New Roman" w:hAnsi="Times New Roman" w:cs="Times New Roman"/>
          <w:b/>
          <w:bCs/>
          <w:iCs/>
          <w:color w:val="000000" w:themeColor="text1"/>
          <w:sz w:val="28"/>
          <w:szCs w:val="28"/>
          <w:lang w:val="vi-VN"/>
        </w:rPr>
        <w:t>4.308,602</w:t>
      </w:r>
      <w:r w:rsidRPr="003D5FA9">
        <w:rPr>
          <w:rFonts w:ascii="Times New Roman" w:eastAsia="Times New Roman" w:hAnsi="Times New Roman" w:cs="Times New Roman"/>
          <w:iCs/>
          <w:color w:val="000000" w:themeColor="text1"/>
          <w:sz w:val="28"/>
          <w:szCs w:val="28"/>
          <w:lang w:val="vi-VN"/>
        </w:rPr>
        <w:t xml:space="preserve"> tỷ đồng</w:t>
      </w:r>
    </w:p>
    <w:p w14:paraId="2A699BBF"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lang w:val="vi-VN"/>
        </w:rPr>
        <w:tab/>
        <w:t xml:space="preserve">Chi CĐS: </w:t>
      </w:r>
      <w:r w:rsidRPr="003D5FA9">
        <w:rPr>
          <w:rFonts w:ascii="Times New Roman" w:eastAsia="Times New Roman" w:hAnsi="Times New Roman" w:cs="Times New Roman"/>
          <w:b/>
          <w:bCs/>
          <w:iCs/>
          <w:color w:val="000000" w:themeColor="text1"/>
          <w:sz w:val="28"/>
          <w:szCs w:val="28"/>
          <w:lang w:val="vi-VN"/>
        </w:rPr>
        <w:t>12.407,472</w:t>
      </w:r>
      <w:r w:rsidRPr="003D5FA9">
        <w:rPr>
          <w:rFonts w:ascii="Times New Roman" w:eastAsia="Times New Roman" w:hAnsi="Times New Roman" w:cs="Times New Roman"/>
          <w:iCs/>
          <w:color w:val="000000" w:themeColor="text1"/>
          <w:sz w:val="28"/>
          <w:szCs w:val="28"/>
          <w:lang w:val="vi-VN"/>
        </w:rPr>
        <w:t xml:space="preserve"> tỷ đồng</w:t>
      </w:r>
      <w:r w:rsidRPr="003D5FA9">
        <w:rPr>
          <w:rFonts w:ascii="Times New Roman" w:eastAsia="Times New Roman" w:hAnsi="Times New Roman" w:cs="Times New Roman"/>
          <w:iCs/>
          <w:color w:val="000000" w:themeColor="text1"/>
          <w:sz w:val="28"/>
          <w:szCs w:val="28"/>
        </w:rPr>
        <w:t xml:space="preserve"> </w:t>
      </w:r>
    </w:p>
    <w:p w14:paraId="3088C933" w14:textId="77777777" w:rsidR="008C0CF8" w:rsidRPr="003D5FA9" w:rsidRDefault="008C0CF8" w:rsidP="008C0CF8">
      <w:pPr>
        <w:tabs>
          <w:tab w:val="left" w:pos="720"/>
        </w:tabs>
        <w:spacing w:before="120" w:after="120" w:line="32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lang w:val="vi-VN"/>
        </w:rPr>
        <w:tab/>
        <w:t xml:space="preserve">Thủ tướng Chính phủ đã thống nhất phân bổ: </w:t>
      </w:r>
      <w:r w:rsidRPr="003D5FA9">
        <w:rPr>
          <w:rFonts w:ascii="Times New Roman" w:eastAsia="Times New Roman" w:hAnsi="Times New Roman" w:cs="Times New Roman"/>
          <w:b/>
          <w:bCs/>
          <w:iCs/>
          <w:color w:val="000000" w:themeColor="text1"/>
          <w:sz w:val="28"/>
          <w:szCs w:val="28"/>
          <w:lang w:val="vi-VN"/>
        </w:rPr>
        <w:t>13.659,992</w:t>
      </w:r>
      <w:r w:rsidRPr="003D5FA9">
        <w:rPr>
          <w:rFonts w:ascii="Times New Roman" w:eastAsia="Times New Roman" w:hAnsi="Times New Roman" w:cs="Times New Roman"/>
          <w:iCs/>
          <w:color w:val="000000" w:themeColor="text1"/>
          <w:sz w:val="28"/>
          <w:szCs w:val="28"/>
          <w:lang w:val="vi-VN"/>
        </w:rPr>
        <w:t xml:space="preserve"> tỷ đồng (trong đó chi thường xuyên </w:t>
      </w:r>
      <w:r w:rsidRPr="003D5FA9">
        <w:rPr>
          <w:rFonts w:ascii="Times New Roman" w:eastAsia="Times New Roman" w:hAnsi="Times New Roman" w:cs="Times New Roman"/>
          <w:b/>
          <w:bCs/>
          <w:iCs/>
          <w:color w:val="000000" w:themeColor="text1"/>
          <w:sz w:val="28"/>
          <w:szCs w:val="28"/>
          <w:lang w:val="vi-VN"/>
        </w:rPr>
        <w:t>4.256,737</w:t>
      </w:r>
      <w:r w:rsidRPr="003D5FA9">
        <w:rPr>
          <w:rFonts w:ascii="Times New Roman" w:eastAsia="Times New Roman" w:hAnsi="Times New Roman" w:cs="Times New Roman"/>
          <w:iCs/>
          <w:color w:val="000000" w:themeColor="text1"/>
          <w:sz w:val="28"/>
          <w:szCs w:val="28"/>
          <w:lang w:val="vi-VN"/>
        </w:rPr>
        <w:t xml:space="preserve"> tỷ đồng, Chi đầu tư </w:t>
      </w:r>
      <w:r w:rsidRPr="003D5FA9">
        <w:rPr>
          <w:rFonts w:ascii="Times New Roman" w:eastAsia="Times New Roman" w:hAnsi="Times New Roman" w:cs="Times New Roman"/>
          <w:b/>
          <w:bCs/>
          <w:iCs/>
          <w:color w:val="000000" w:themeColor="text1"/>
          <w:sz w:val="28"/>
          <w:szCs w:val="28"/>
          <w:lang w:val="vi-VN"/>
        </w:rPr>
        <w:t>9.403,255</w:t>
      </w:r>
      <w:r w:rsidRPr="003D5FA9">
        <w:rPr>
          <w:rFonts w:ascii="Times New Roman" w:eastAsia="Times New Roman" w:hAnsi="Times New Roman" w:cs="Times New Roman"/>
          <w:iCs/>
          <w:color w:val="000000" w:themeColor="text1"/>
          <w:sz w:val="28"/>
          <w:szCs w:val="28"/>
          <w:lang w:val="vi-VN"/>
        </w:rPr>
        <w:t xml:space="preserve"> tỷ đồng).</w:t>
      </w:r>
    </w:p>
    <w:p w14:paraId="0A9B8911" w14:textId="77777777" w:rsidR="008C0CF8" w:rsidRPr="003D5FA9" w:rsidRDefault="008C0CF8" w:rsidP="008C0CF8">
      <w:pPr>
        <w:widowControl w:val="0"/>
        <w:tabs>
          <w:tab w:val="left" w:pos="709"/>
        </w:tabs>
        <w:spacing w:before="120" w:after="120" w:line="360" w:lineRule="exact"/>
        <w:jc w:val="both"/>
        <w:rPr>
          <w:rFonts w:ascii="Times New Roman" w:eastAsia="Times New Roman" w:hAnsi="Times New Roman" w:cs="Times New Roman"/>
          <w:sz w:val="28"/>
          <w:szCs w:val="28"/>
          <w:lang w:val="en"/>
        </w:rPr>
      </w:pPr>
      <w:r w:rsidRPr="003D5FA9">
        <w:rPr>
          <w:rFonts w:ascii="Times New Roman" w:eastAsia="Times New Roman" w:hAnsi="Times New Roman" w:cs="Times New Roman"/>
          <w:sz w:val="28"/>
          <w:szCs w:val="28"/>
          <w:lang w:val="en"/>
        </w:rPr>
        <w:tab/>
        <w:t xml:space="preserve">Bộ Tài chính đã trình Chính phủ phân bổ </w:t>
      </w:r>
      <w:r w:rsidRPr="003D5FA9">
        <w:rPr>
          <w:rFonts w:ascii="Times New Roman" w:eastAsia="Times New Roman" w:hAnsi="Times New Roman" w:cs="Times New Roman"/>
          <w:b/>
          <w:bCs/>
          <w:sz w:val="28"/>
          <w:szCs w:val="28"/>
          <w:lang w:val="en"/>
        </w:rPr>
        <w:t>1.870,345</w:t>
      </w:r>
      <w:r w:rsidRPr="003D5FA9">
        <w:rPr>
          <w:rFonts w:ascii="Times New Roman" w:eastAsia="Times New Roman" w:hAnsi="Times New Roman" w:cs="Times New Roman"/>
          <w:sz w:val="28"/>
          <w:szCs w:val="28"/>
          <w:lang w:val="en"/>
        </w:rPr>
        <w:t xml:space="preserve"> tỷ đồng chi đầu tư cho 2 dự án chuyển đổi số của Bộ Xây dựng và dự án số hóa các bản án, án tích của Tòa án nhân dân tối cao.</w:t>
      </w:r>
    </w:p>
    <w:p w14:paraId="0BE5F4FF" w14:textId="77777777" w:rsidR="008C0CF8" w:rsidRPr="003D5FA9" w:rsidRDefault="008C0CF8" w:rsidP="008C0CF8">
      <w:pPr>
        <w:widowControl w:val="0"/>
        <w:tabs>
          <w:tab w:val="left" w:pos="709"/>
        </w:tabs>
        <w:spacing w:before="120" w:after="120" w:line="360" w:lineRule="exact"/>
        <w:jc w:val="both"/>
        <w:rPr>
          <w:rFonts w:ascii="Times New Roman" w:eastAsia="Calibri" w:hAnsi="Times New Roman" w:cs="Times New Roman"/>
          <w:sz w:val="28"/>
          <w:szCs w:val="28"/>
          <w:lang w:val="en"/>
        </w:rPr>
      </w:pPr>
      <w:r w:rsidRPr="003D5FA9">
        <w:rPr>
          <w:rFonts w:ascii="Times New Roman" w:eastAsia="Times New Roman" w:hAnsi="Times New Roman" w:cs="Times New Roman"/>
          <w:sz w:val="28"/>
          <w:szCs w:val="28"/>
          <w:lang w:val="en"/>
        </w:rPr>
        <w:tab/>
        <w:t>Bộ Tài chính đã trình Chính phủ Tờ trình đề nghị điều chỉnh giảm dự toán chi đầu tư phát triển năm 2025 bố trí từ nguồn tăng thu ngân sách trung ương năm 2024 để bổ sung dự toán chi thường xuyên các nhiệm vụ KH,CN, ĐMST&amp;CĐS (</w:t>
      </w:r>
      <w:r w:rsidRPr="003D5FA9">
        <w:rPr>
          <w:rFonts w:ascii="Times New Roman" w:eastAsia="Times New Roman" w:hAnsi="Times New Roman" w:cs="Times New Roman"/>
          <w:b/>
          <w:bCs/>
          <w:sz w:val="28"/>
          <w:szCs w:val="28"/>
          <w:lang w:val="en"/>
        </w:rPr>
        <w:t>1.182,414</w:t>
      </w:r>
      <w:r w:rsidRPr="003D5FA9">
        <w:rPr>
          <w:rFonts w:ascii="Times New Roman" w:eastAsia="Times New Roman" w:hAnsi="Times New Roman" w:cs="Times New Roman"/>
          <w:sz w:val="28"/>
          <w:szCs w:val="28"/>
          <w:lang w:val="en"/>
        </w:rPr>
        <w:t xml:space="preserve"> tỷ đồng)</w:t>
      </w:r>
      <w:r w:rsidRPr="003D5FA9">
        <w:rPr>
          <w:rFonts w:ascii="Times New Roman" w:eastAsia="Calibri" w:hAnsi="Times New Roman" w:cs="Times New Roman"/>
          <w:sz w:val="28"/>
          <w:szCs w:val="28"/>
          <w:lang w:val="en"/>
        </w:rPr>
        <w:t>.</w:t>
      </w:r>
    </w:p>
    <w:p w14:paraId="0FF4875F" w14:textId="77777777" w:rsidR="008C0CF8" w:rsidRPr="003D5FA9" w:rsidRDefault="008C0CF8" w:rsidP="008C0CF8">
      <w:pPr>
        <w:widowControl w:val="0"/>
        <w:spacing w:before="120" w:after="120" w:line="360" w:lineRule="exact"/>
        <w:jc w:val="both"/>
        <w:rPr>
          <w:rFonts w:ascii="Times New Roman" w:eastAsia="Times New Roman" w:hAnsi="Times New Roman" w:cs="Times New Roman"/>
          <w:sz w:val="28"/>
          <w:szCs w:val="28"/>
          <w:lang w:val="en"/>
        </w:rPr>
      </w:pPr>
      <w:r w:rsidRPr="003D5FA9">
        <w:rPr>
          <w:rFonts w:ascii="Times New Roman" w:eastAsia="Calibri" w:hAnsi="Times New Roman" w:cs="Times New Roman"/>
          <w:sz w:val="28"/>
          <w:szCs w:val="28"/>
          <w:lang w:val="en"/>
        </w:rPr>
        <w:tab/>
      </w:r>
      <w:r w:rsidRPr="003D5FA9">
        <w:rPr>
          <w:rFonts w:ascii="Times New Roman" w:eastAsia="Times New Roman" w:hAnsi="Times New Roman" w:cs="Times New Roman"/>
          <w:sz w:val="28"/>
          <w:szCs w:val="28"/>
          <w:lang w:val="en"/>
        </w:rPr>
        <w:t xml:space="preserve">Như vậy, tổng kinh phí Bộ KHCN đề xuất chưa được Thủ tướng phân bổ là </w:t>
      </w:r>
      <w:r w:rsidRPr="003D5FA9">
        <w:rPr>
          <w:rFonts w:ascii="Times New Roman" w:eastAsia="Times New Roman" w:hAnsi="Times New Roman" w:cs="Times New Roman"/>
          <w:b/>
          <w:bCs/>
          <w:sz w:val="28"/>
          <w:szCs w:val="28"/>
          <w:lang w:val="en"/>
        </w:rPr>
        <w:t>3.056,082</w:t>
      </w:r>
      <w:r w:rsidRPr="003D5FA9">
        <w:rPr>
          <w:rFonts w:ascii="Times New Roman" w:eastAsia="Times New Roman" w:hAnsi="Times New Roman" w:cs="Times New Roman"/>
          <w:sz w:val="28"/>
          <w:szCs w:val="28"/>
          <w:lang w:val="en"/>
        </w:rPr>
        <w:t xml:space="preserve"> tỷ đồng (trong đó chi thường xuyên: </w:t>
      </w:r>
      <w:r w:rsidRPr="003D5FA9">
        <w:rPr>
          <w:rFonts w:ascii="Times New Roman" w:eastAsia="Times New Roman" w:hAnsi="Times New Roman" w:cs="Times New Roman"/>
          <w:b/>
          <w:bCs/>
          <w:sz w:val="28"/>
          <w:szCs w:val="28"/>
          <w:lang w:val="en"/>
        </w:rPr>
        <w:t>1.185,735</w:t>
      </w:r>
      <w:r w:rsidRPr="003D5FA9">
        <w:rPr>
          <w:rFonts w:ascii="Times New Roman" w:eastAsia="Times New Roman" w:hAnsi="Times New Roman" w:cs="Times New Roman"/>
          <w:sz w:val="28"/>
          <w:szCs w:val="28"/>
          <w:lang w:val="en"/>
        </w:rPr>
        <w:t xml:space="preserve"> tỷ đồng (11 bộ, ngành và 09 địa phương), chi đầu tư là </w:t>
      </w:r>
      <w:r w:rsidRPr="003D5FA9">
        <w:rPr>
          <w:rFonts w:ascii="Times New Roman" w:eastAsia="Times New Roman" w:hAnsi="Times New Roman" w:cs="Times New Roman"/>
          <w:b/>
          <w:bCs/>
          <w:sz w:val="28"/>
          <w:szCs w:val="28"/>
          <w:lang w:val="en"/>
        </w:rPr>
        <w:t>1.870,345</w:t>
      </w:r>
      <w:r w:rsidRPr="003D5FA9">
        <w:rPr>
          <w:rFonts w:ascii="Times New Roman" w:eastAsia="Times New Roman" w:hAnsi="Times New Roman" w:cs="Times New Roman"/>
          <w:sz w:val="28"/>
          <w:szCs w:val="28"/>
          <w:lang w:val="en"/>
        </w:rPr>
        <w:t xml:space="preserve"> tỷ đồng (02 bộ/ngành)).</w:t>
      </w:r>
    </w:p>
    <w:p w14:paraId="63715EC8" w14:textId="18C26CA3" w:rsidR="008C0CF8" w:rsidRPr="003D5FA9" w:rsidRDefault="008C0CF8"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Times New Roman"/>
          <w:sz w:val="28"/>
          <w:szCs w:val="28"/>
          <w:lang w:val="nl-NL"/>
        </w:rPr>
      </w:pPr>
      <w:r w:rsidRPr="003D5FA9">
        <w:rPr>
          <w:rFonts w:ascii="Times New Roman" w:eastAsia="Calibri" w:hAnsi="Times New Roman" w:cs="Times New Roman"/>
          <w:sz w:val="28"/>
          <w:szCs w:val="28"/>
          <w:lang w:val="nl-NL"/>
        </w:rPr>
        <w:t xml:space="preserve">- Về nguồn kinh phí thực hiện, trên cơ sở đề xuất của Bộ Tài chính tại Tờ trình số 905/TTr-BTC ngày 01/12/2025 của Bộ Tài chính, Chính phủ đã có Tờ trình số 68/TTr-BTC ngày 07/12/2025 </w:t>
      </w:r>
      <w:r w:rsidRPr="003D5FA9">
        <w:rPr>
          <w:rFonts w:ascii="Times New Roman" w:eastAsia="Times New Roman" w:hAnsi="Times New Roman" w:cs="Times New Roman"/>
          <w:sz w:val="28"/>
          <w:szCs w:val="28"/>
          <w:lang w:val="en"/>
        </w:rPr>
        <w:t xml:space="preserve">báo cáo Quốc hội xem xét, quyết định phương án điều chuyển nguồn kinh phí chi đầu tư (trong tổng nguồn vốn chưa phân bổ hết) sang chi thường xuyên để kịp thời đáp ứng nhu cầu cấp thiết của các cơ quan Trung </w:t>
      </w:r>
      <w:r w:rsidRPr="003D5FA9">
        <w:rPr>
          <w:rFonts w:ascii="Times New Roman" w:eastAsia="Times New Roman" w:hAnsi="Times New Roman" w:cs="Times New Roman"/>
          <w:sz w:val="28"/>
          <w:szCs w:val="28"/>
          <w:lang w:val="en"/>
        </w:rPr>
        <w:lastRenderedPageBreak/>
        <w:t>ương và địa phương</w:t>
      </w:r>
      <w:r w:rsidRPr="003D5FA9">
        <w:rPr>
          <w:rFonts w:ascii="Times New Roman" w:eastAsia="Times New Roman" w:hAnsi="Times New Roman" w:cs="Times New Roman"/>
          <w:sz w:val="28"/>
          <w:szCs w:val="28"/>
        </w:rPr>
        <w:t xml:space="preserve"> để đáp ứng nhu cầu chi </w:t>
      </w:r>
      <w:r w:rsidRPr="003D5FA9">
        <w:rPr>
          <w:rFonts w:ascii="Times New Roman" w:eastAsia="Calibri" w:hAnsi="Times New Roman" w:cs="Times New Roman"/>
          <w:b/>
          <w:sz w:val="28"/>
          <w:szCs w:val="28"/>
          <w:lang w:val="nl-NL"/>
        </w:rPr>
        <w:t xml:space="preserve">1.185,737 tỷ đồng </w:t>
      </w:r>
      <w:r w:rsidRPr="003D5FA9">
        <w:rPr>
          <w:rFonts w:ascii="Times New Roman" w:eastAsia="Calibri" w:hAnsi="Times New Roman" w:cs="Times New Roman"/>
          <w:sz w:val="28"/>
          <w:szCs w:val="28"/>
          <w:lang w:val="nl-NL"/>
        </w:rPr>
        <w:t>theo đề xuất của Bộ KH&amp;CN.</w:t>
      </w:r>
    </w:p>
    <w:p w14:paraId="54D49EB0" w14:textId="77777777" w:rsidR="002D0115" w:rsidRPr="003D5FA9" w:rsidRDefault="009B6FC6"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Times New Roman"/>
          <w:b/>
          <w:bCs/>
          <w:sz w:val="28"/>
          <w:szCs w:val="28"/>
          <w:lang w:val="nl-NL"/>
        </w:rPr>
      </w:pPr>
      <w:r w:rsidRPr="003D5FA9">
        <w:rPr>
          <w:rFonts w:ascii="Times New Roman" w:eastAsia="Calibri" w:hAnsi="Times New Roman" w:cs="Times New Roman"/>
          <w:b/>
          <w:bCs/>
          <w:sz w:val="28"/>
          <w:szCs w:val="28"/>
          <w:lang w:val="nl-NL"/>
        </w:rPr>
        <w:t>7. Hoạt động phát triển nội địa hóa sản phẩm, công nghệ</w:t>
      </w:r>
    </w:p>
    <w:p w14:paraId="5EE40BA5" w14:textId="673F9219" w:rsidR="002D0115" w:rsidRPr="003D5FA9" w:rsidRDefault="002D0115"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Times New Roman"/>
          <w:sz w:val="28"/>
          <w:szCs w:val="28"/>
          <w:lang w:val="nl-NL"/>
        </w:rPr>
      </w:pPr>
      <w:r w:rsidRPr="003D5FA9">
        <w:rPr>
          <w:rFonts w:ascii="Times New Roman" w:eastAsia="Times New Roman" w:hAnsi="Times New Roman" w:cs="Times New Roman"/>
          <w:bCs/>
          <w:iCs/>
          <w:sz w:val="28"/>
          <w:szCs w:val="28"/>
          <w:lang w:val="vi-VN"/>
        </w:rPr>
        <w:t>T</w:t>
      </w:r>
      <w:r w:rsidRPr="003D5FA9">
        <w:rPr>
          <w:rFonts w:ascii="Times New Roman" w:eastAsia="Times New Roman" w:hAnsi="Times New Roman" w:cs="Times New Roman"/>
          <w:bCs/>
          <w:iCs/>
          <w:sz w:val="28"/>
          <w:szCs w:val="28"/>
          <w:lang w:val="en"/>
        </w:rPr>
        <w:t>ổ chức nghiên cứu, xác định tỷ lệ nội địa hóa cho phép đối với từng sản phẩm công nghệ chiến lược, bảo đảm phù hợp với yêu cầu phát triển năng lực khoa học và công nghệ quốc gia, khả năng làm chủ công nghệ và điều kiện sản xuất trong nước. Mặt khác, Luật công nghệ cao (sửa đổi) có qui đinh về chính sách nhằm thúc đẩy nội địa hóa trong các sản phẩm công nghệ chiến lược.</w:t>
      </w:r>
    </w:p>
    <w:p w14:paraId="65D1BA05" w14:textId="77777777" w:rsidR="002D0115" w:rsidRPr="003D5FA9" w:rsidRDefault="002D0115" w:rsidP="004262DA">
      <w:pPr>
        <w:pBdr>
          <w:top w:val="dotted" w:sz="4" w:space="0" w:color="FFFFFF"/>
          <w:left w:val="dotted" w:sz="4" w:space="0" w:color="FFFFFF"/>
          <w:bottom w:val="dotted" w:sz="4" w:space="6" w:color="FFFFFF"/>
          <w:right w:val="dotted" w:sz="4" w:space="1" w:color="FFFFFF"/>
        </w:pBdr>
        <w:shd w:val="clear" w:color="auto" w:fill="FFFFFF"/>
        <w:tabs>
          <w:tab w:val="left" w:pos="720"/>
          <w:tab w:val="left" w:pos="8505"/>
          <w:tab w:val="left" w:pos="9356"/>
        </w:tabs>
        <w:spacing w:after="0" w:line="259" w:lineRule="auto"/>
        <w:ind w:firstLine="720"/>
        <w:jc w:val="both"/>
        <w:rPr>
          <w:rFonts w:ascii="Times New Roman" w:eastAsia="Calibri" w:hAnsi="Times New Roman" w:cs="Times New Roman"/>
          <w:bCs/>
          <w:iCs/>
          <w:sz w:val="28"/>
          <w:lang w:val="vi-VN"/>
        </w:rPr>
      </w:pPr>
      <w:r w:rsidRPr="003D5FA9">
        <w:rPr>
          <w:rFonts w:ascii="Times New Roman" w:eastAsia="Calibri" w:hAnsi="Times New Roman" w:cs="Times New Roman"/>
          <w:bCs/>
          <w:iCs/>
          <w:sz w:val="28"/>
          <w:lang w:val="vi-VN"/>
        </w:rPr>
        <w:t xml:space="preserve">Luật công nghệ cao (sửa đổi) trong đó có qui định về chính sách nhằm thúc đẩy nội địa hóa trong các sản phẩm công nghệ chiến lược như: (1) </w:t>
      </w:r>
      <w:r w:rsidRPr="003D5FA9">
        <w:rPr>
          <w:rFonts w:ascii="Times New Roman" w:eastAsia="Calibri" w:hAnsi="Times New Roman" w:cs="Times New Roman"/>
          <w:iCs/>
          <w:sz w:val="28"/>
        </w:rPr>
        <w:t>Vai trò của các viện, trường, DIH trong thúc đẩy nội địa hóa công nghệ</w:t>
      </w:r>
      <w:r w:rsidRPr="003D5FA9">
        <w:rPr>
          <w:rFonts w:ascii="Times New Roman" w:eastAsia="Calibri" w:hAnsi="Times New Roman" w:cs="Times New Roman"/>
          <w:iCs/>
          <w:sz w:val="28"/>
          <w:lang w:val="vi-VN"/>
        </w:rPr>
        <w:t xml:space="preserve">; (2) </w:t>
      </w:r>
      <w:r w:rsidRPr="003D5FA9">
        <w:rPr>
          <w:rFonts w:ascii="Times New Roman" w:eastAsia="Calibri" w:hAnsi="Times New Roman" w:cs="Times New Roman"/>
          <w:iCs/>
          <w:sz w:val="28"/>
        </w:rPr>
        <w:t>Hoạt động hỗ trợ doanh nghiệp nội địa phát triển sản phẩm thay thế nhập kh</w:t>
      </w:r>
      <w:r w:rsidRPr="003D5FA9">
        <w:rPr>
          <w:rFonts w:ascii="Times New Roman" w:eastAsia="Calibri" w:hAnsi="Times New Roman" w:cs="Times New Roman"/>
          <w:iCs/>
          <w:sz w:val="28"/>
          <w:lang w:val="vi-VN"/>
        </w:rPr>
        <w:t xml:space="preserve">ẩu; (3) </w:t>
      </w:r>
      <w:r w:rsidRPr="003D5FA9">
        <w:rPr>
          <w:rFonts w:ascii="Times New Roman" w:eastAsia="Calibri" w:hAnsi="Times New Roman" w:cs="Times New Roman"/>
          <w:iCs/>
          <w:sz w:val="28"/>
        </w:rPr>
        <w:t>Các sản phẩm, giải pháp 'Make in Vietnam', 'Make by Universities' đã triển khai</w:t>
      </w:r>
      <w:r w:rsidRPr="003D5FA9">
        <w:rPr>
          <w:rFonts w:ascii="Times New Roman" w:eastAsia="Calibri" w:hAnsi="Times New Roman" w:cs="Times New Roman"/>
          <w:iCs/>
          <w:sz w:val="28"/>
          <w:lang w:val="vi-VN"/>
        </w:rPr>
        <w:t xml:space="preserve">; (4) </w:t>
      </w:r>
      <w:r w:rsidRPr="003D5FA9">
        <w:rPr>
          <w:rFonts w:ascii="Times New Roman" w:eastAsia="Calibri" w:hAnsi="Times New Roman" w:cs="Times New Roman"/>
          <w:iCs/>
          <w:sz w:val="28"/>
        </w:rPr>
        <w:t xml:space="preserve">Tỷ lệ nội địa hóa các </w:t>
      </w:r>
      <w:r w:rsidRPr="003D5FA9">
        <w:rPr>
          <w:rFonts w:ascii="Times New Roman" w:eastAsia="Calibri" w:hAnsi="Times New Roman" w:cs="Times New Roman"/>
          <w:bCs/>
          <w:iCs/>
          <w:sz w:val="28"/>
          <w:lang w:val="vi-VN"/>
        </w:rPr>
        <w:t>sản phẩm, giải pháp công nghệ tại bộ, ngành, địa phương; (5) Đánh giá tình hình phát triển và ứng dụng sản phẩm, giải pháp công nghệ trong nước.</w:t>
      </w:r>
    </w:p>
    <w:p w14:paraId="2B080D02" w14:textId="7CCAB3C0" w:rsidR="00BE3E20" w:rsidRPr="003D5FA9" w:rsidRDefault="00BE3E20" w:rsidP="00BE3E20">
      <w:pPr>
        <w:tabs>
          <w:tab w:val="left" w:pos="882"/>
        </w:tabs>
        <w:spacing w:before="120" w:after="120" w:line="340" w:lineRule="exact"/>
        <w:ind w:firstLine="709"/>
        <w:jc w:val="both"/>
        <w:rPr>
          <w:rFonts w:ascii="Times New Roman" w:eastAsia="Times New Roman" w:hAnsi="Times New Roman" w:cs="Times New Roman"/>
          <w:b/>
          <w:bCs/>
          <w:iCs/>
          <w:color w:val="000000" w:themeColor="text1"/>
          <w:sz w:val="28"/>
          <w:szCs w:val="28"/>
        </w:rPr>
      </w:pPr>
      <w:r w:rsidRPr="003D5FA9">
        <w:rPr>
          <w:rFonts w:ascii="Times New Roman" w:eastAsia="Times New Roman" w:hAnsi="Times New Roman" w:cs="Times New Roman"/>
          <w:b/>
          <w:bCs/>
          <w:iCs/>
          <w:color w:val="000000" w:themeColor="text1"/>
          <w:sz w:val="28"/>
          <w:szCs w:val="28"/>
        </w:rPr>
        <w:t>V. TỒN TẠI, HẠN CHẾ</w:t>
      </w:r>
      <w:r w:rsidR="00AF7442" w:rsidRPr="003D5FA9">
        <w:rPr>
          <w:rFonts w:ascii="Times New Roman" w:eastAsia="Times New Roman" w:hAnsi="Times New Roman" w:cs="Times New Roman"/>
          <w:b/>
          <w:bCs/>
          <w:iCs/>
          <w:color w:val="000000" w:themeColor="text1"/>
          <w:sz w:val="28"/>
          <w:szCs w:val="28"/>
        </w:rPr>
        <w:t>, BÀI HỌC KINH NGHIỆM</w:t>
      </w:r>
    </w:p>
    <w:p w14:paraId="4AD71C71" w14:textId="77777777"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b/>
          <w:bCs/>
          <w:iCs/>
          <w:color w:val="000000" w:themeColor="text1"/>
          <w:sz w:val="28"/>
          <w:szCs w:val="28"/>
        </w:rPr>
      </w:pPr>
      <w:r w:rsidRPr="003D5FA9">
        <w:rPr>
          <w:rFonts w:ascii="Times New Roman" w:eastAsia="Times New Roman" w:hAnsi="Times New Roman" w:cs="Times New Roman"/>
          <w:b/>
          <w:bCs/>
          <w:iCs/>
          <w:color w:val="000000" w:themeColor="text1"/>
          <w:sz w:val="28"/>
          <w:szCs w:val="28"/>
        </w:rPr>
        <w:t>I. Tồn tại, hạn chế</w:t>
      </w:r>
    </w:p>
    <w:p w14:paraId="396B054D" w14:textId="77777777"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Tiến độ chưa đồng đều: còn nhiệm vụ quá hạn, nhất là nhiệm vụ liên ngành, liên thông; áp lực dồn việc cuối năm tại một số bộ, địa phương.</w:t>
      </w:r>
    </w:p>
    <w:p w14:paraId="59B7242D" w14:textId="77777777"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Phối hợp và trách nhiệm đầu ra chưa rõ: phân công chủ trì – phối hợp ở một số nhiệm vụ chưa gắn chặt với sản phẩm cụ thể; áp dụng nguyên tắc “6 rõ” chưa đồng đều.</w:t>
      </w:r>
    </w:p>
    <w:p w14:paraId="61F3BDF1" w14:textId="77777777"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Thể chế và cơ chế tài chính còn độ trễ: chậm hướng dẫn chi tiết về tài chính, đầu tư, dữ liệu, mua sắm công nghệ, chấp nhận rủi ro trong nghiên cứu.</w:t>
      </w:r>
    </w:p>
    <w:p w14:paraId="5ECAC075" w14:textId="77777777"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Nguồn nhân lực còn hạn chế: thiếu nhân lực chuyên sâu về dữ liệu, AI, an toàn thông tin, GIS, BIM; kỹ năng số của CCVC và người dân chưa đồng đều.</w:t>
      </w:r>
    </w:p>
    <w:p w14:paraId="234636A7" w14:textId="77777777"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Dữ liệu chưa thực sự dùng chung: CSDL còn phân tán, liên thông hạn chế; một số CSDL chuyên ngành triển khai manh mún, tiềm ẩn nguy cơ chậm tiến độ.</w:t>
      </w:r>
    </w:p>
    <w:p w14:paraId="63729456" w14:textId="2AC1A70D"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b/>
          <w:bCs/>
          <w:iCs/>
          <w:color w:val="000000" w:themeColor="text1"/>
          <w:sz w:val="28"/>
          <w:szCs w:val="28"/>
        </w:rPr>
      </w:pPr>
      <w:r w:rsidRPr="003D5FA9">
        <w:rPr>
          <w:rFonts w:ascii="Times New Roman" w:eastAsia="Times New Roman" w:hAnsi="Times New Roman" w:cs="Times New Roman"/>
          <w:b/>
          <w:bCs/>
          <w:iCs/>
          <w:color w:val="000000" w:themeColor="text1"/>
          <w:sz w:val="28"/>
          <w:szCs w:val="28"/>
        </w:rPr>
        <w:t>2. Bài học kinh nghiệm cho năm 2026</w:t>
      </w:r>
    </w:p>
    <w:p w14:paraId="3DB18E45" w14:textId="11DCB24E" w:rsidR="00AF7442" w:rsidRPr="003D5FA9" w:rsidRDefault="00AF7442" w:rsidP="00AF7442">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Sự chỉ đạo thống nhất, quyết liệt từ Trung ương là yếu tố quyết định, gắn với điều hành dựa trên dữ liệu, theo dõi thời gian thực.</w:t>
      </w:r>
    </w:p>
    <w:p w14:paraId="5FABBD8A" w14:textId="77777777" w:rsidR="00AF7442" w:rsidRPr="003D5FA9" w:rsidRDefault="00AF7442" w:rsidP="00AF7442">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Gắn nhiệm vụ với trách nhiệm người đứng đầu và sản phẩm đầu ra, có chỉ số đo lường cụ thể, hạn chế hình thức.</w:t>
      </w:r>
    </w:p>
    <w:p w14:paraId="5A93341E" w14:textId="77777777" w:rsidR="00AF7442" w:rsidRPr="003D5FA9" w:rsidRDefault="00AF7442" w:rsidP="00AF7442">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Thể chế phải đi trước, mở đường cho thực thi, đặc biệt về tài chính, đầu tư, dữ liệu và hợp tác công – tư.</w:t>
      </w:r>
    </w:p>
    <w:p w14:paraId="5C434CB2" w14:textId="77777777" w:rsidR="00AF7442" w:rsidRPr="003D5FA9" w:rsidRDefault="00AF7442" w:rsidP="00AF7442">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Dữ liệu là hạ tầng cốt lõi của CĐS và quản trị hiện đại, cần ưu tiên đầu tư dữ liệu “đúng, đủ, sạch, sống, dùng chung”.</w:t>
      </w:r>
    </w:p>
    <w:p w14:paraId="1CE234CA" w14:textId="77777777" w:rsidR="00AF7442" w:rsidRPr="003D5FA9" w:rsidRDefault="00AF7442" w:rsidP="00AF7442">
      <w:pPr>
        <w:tabs>
          <w:tab w:val="left" w:pos="882"/>
        </w:tabs>
        <w:spacing w:before="60" w:after="120" w:line="340" w:lineRule="exact"/>
        <w:ind w:firstLine="709"/>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lastRenderedPageBreak/>
        <w:t>Con người là trung tâm, quyết định tính bền vững, kết hợp đào tạo chuyên gia dẫn dắt và phổ cập kỹ năng số toàn xã hội.</w:t>
      </w:r>
    </w:p>
    <w:p w14:paraId="6EE7CA95" w14:textId="654D558F" w:rsidR="00BE3E20" w:rsidRPr="003D5FA9" w:rsidRDefault="00AF7442" w:rsidP="00AF7442">
      <w:pPr>
        <w:tabs>
          <w:tab w:val="left" w:pos="882"/>
        </w:tabs>
        <w:spacing w:before="60" w:after="120" w:line="340" w:lineRule="exact"/>
        <w:jc w:val="both"/>
        <w:rPr>
          <w:rFonts w:ascii="Times New Roman" w:eastAsia="Times New Roman" w:hAnsi="Times New Roman" w:cs="Times New Roman"/>
          <w:iCs/>
          <w:color w:val="000000" w:themeColor="text1"/>
          <w:sz w:val="28"/>
          <w:szCs w:val="28"/>
        </w:rPr>
      </w:pPr>
      <w:r w:rsidRPr="003D5FA9">
        <w:rPr>
          <w:rFonts w:ascii="Times New Roman" w:eastAsia="Times New Roman" w:hAnsi="Times New Roman" w:cs="Times New Roman"/>
          <w:iCs/>
          <w:color w:val="000000" w:themeColor="text1"/>
          <w:sz w:val="28"/>
          <w:szCs w:val="28"/>
        </w:rPr>
        <w:tab/>
        <w:t>Năm 2026 cần chuyển mạnh từ “khởi động – thiết lập” sang “triển khai chiều sâu – tạo kết quả thực chất”, siết kỷ luật thực thi và đo lường bằng sản phẩm cụ thể.</w:t>
      </w:r>
    </w:p>
    <w:p w14:paraId="159DA517" w14:textId="7FC82C11"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3D5FA9">
        <w:rPr>
          <w:rFonts w:ascii="Times New Roman" w:eastAsia="Times New Roman" w:hAnsi="Times New Roman" w:cs="Times New Roman"/>
          <w:b/>
          <w:bCs/>
          <w:color w:val="000000" w:themeColor="text1"/>
          <w:sz w:val="28"/>
          <w:szCs w:val="28"/>
        </w:rPr>
        <w:t>V</w:t>
      </w:r>
      <w:r w:rsidR="00BE3E20" w:rsidRPr="003D5FA9">
        <w:rPr>
          <w:rFonts w:ascii="Times New Roman" w:eastAsia="Times New Roman" w:hAnsi="Times New Roman" w:cs="Times New Roman"/>
          <w:b/>
          <w:bCs/>
          <w:color w:val="000000" w:themeColor="text1"/>
          <w:sz w:val="28"/>
          <w:szCs w:val="28"/>
        </w:rPr>
        <w:t>I</w:t>
      </w:r>
      <w:r w:rsidRPr="003D5FA9">
        <w:rPr>
          <w:rFonts w:ascii="Times New Roman" w:eastAsia="Times New Roman" w:hAnsi="Times New Roman" w:cs="Times New Roman"/>
          <w:b/>
          <w:bCs/>
          <w:color w:val="000000" w:themeColor="text1"/>
          <w:sz w:val="28"/>
          <w:szCs w:val="28"/>
          <w:lang w:val="vi-VN"/>
        </w:rPr>
        <w:t>. NHIỆM VỤ, GIẢI PHÁP TRỌNG TÂM NĂM 2026</w:t>
      </w:r>
    </w:p>
    <w:p w14:paraId="5BD312C9"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3D5FA9">
        <w:rPr>
          <w:rFonts w:ascii="Times New Roman" w:eastAsia="Times New Roman" w:hAnsi="Times New Roman" w:cs="Times New Roman"/>
          <w:b/>
          <w:bCs/>
          <w:color w:val="000000" w:themeColor="text1"/>
          <w:sz w:val="28"/>
          <w:szCs w:val="28"/>
          <w:lang w:val="vi-VN"/>
        </w:rPr>
        <w:t>1. Về các nhiệm vụ chung</w:t>
      </w:r>
    </w:p>
    <w:p w14:paraId="4B848209"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Người đứng đầu các bộ, ngành, địa phương tập trung chỉ đạo quyết liệt, ưu tiên bố trí đầy đủ, kịp thời nguồn lực để hoàn thành sớm các nhiệm vụ đã được Ban Chỉ đạo Trung ương, Ban Chỉ đạo của Chính phủ giao, bảo đảm tiến độ, chất lượng.</w:t>
      </w:r>
    </w:p>
    <w:p w14:paraId="357D6504"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xml:space="preserve">- Phát huy hiệu quả vai trò các Tổ Công tác giúp việc Ban Chỉ đạo của CP trong việc thành lập các đoàn công tác để đôn đốc, hướng dẫn, tổng hợp các khó khăn, vướng mắc phát sinh trong quá trình triển khai, kịp thời báo cáo CP, TTgCP để giải quyết dứt điểm. </w:t>
      </w:r>
    </w:p>
    <w:p w14:paraId="26992AD0"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Tổ chức thực hiện nghiêm, hiệu quả 28 Nghị định về phân cấp, phân quyền, phân định thẩm quyền; vận hành đồng bộ, hiệu quả chính quyền địa phương 02 cấp.</w:t>
      </w:r>
    </w:p>
    <w:p w14:paraId="5D0C37AA"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Tổ chức thực hiện nghiêm, toàn diện, đồng bộ Chương trình tổng thể cải cách hành chính nhà nước giai đoạn 2021-2030.</w:t>
      </w:r>
    </w:p>
    <w:p w14:paraId="38C06740"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3D5FA9">
        <w:rPr>
          <w:rFonts w:ascii="Times New Roman" w:eastAsia="Times New Roman" w:hAnsi="Times New Roman" w:cs="Times New Roman"/>
          <w:b/>
          <w:bCs/>
          <w:color w:val="000000" w:themeColor="text1"/>
          <w:sz w:val="28"/>
          <w:szCs w:val="28"/>
          <w:lang w:val="vi-VN"/>
        </w:rPr>
        <w:t xml:space="preserve">2. Đẩy mạnh rà soát, xây dựng, hoàn thiện thể chế  </w:t>
      </w:r>
    </w:p>
    <w:p w14:paraId="4845CAB5"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Các bộ, ngành kịp thời xây dựng, hoàn thiện các văn bản quy định chi tiết và hướng dẫn thi hành các luật đã được Quốc hội thông qua tại kỳ họp thứ 9 và thứ 10 Quốc hội khóa XV; Tiếp tục rà soát, xây dựng, sửa đổi, bổ sung các văn bản pháp luật có liên quan.</w:t>
      </w:r>
    </w:p>
    <w:p w14:paraId="387E4E08"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3D5FA9">
        <w:rPr>
          <w:rFonts w:ascii="Times New Roman" w:eastAsia="Times New Roman" w:hAnsi="Times New Roman" w:cs="Times New Roman"/>
          <w:b/>
          <w:bCs/>
          <w:color w:val="000000" w:themeColor="text1"/>
          <w:sz w:val="28"/>
          <w:szCs w:val="28"/>
          <w:lang w:val="vi-VN"/>
        </w:rPr>
        <w:t xml:space="preserve">3. Tài chính, kinh phí: </w:t>
      </w:r>
    </w:p>
    <w:p w14:paraId="60845F4C"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Các bộ, ngành, địa phương triển khai tập trung điều hành chủ động, linh hoạt Kế hoạch ngân sách nhà nước năm 2026, bảo đảm nguồn lực đáp ứng tổng nhu cầu khoảng 95.000 tỷ đồng; siết chặt kỷ luật tài chính đi đôi với việc đẩy nhanh tiến độ giải ngân vốn đầu tư công ngay từ những tháng đầu năm. Khẩn trương hoàn thành dứt điểm công tác quyết toán các Chương trình mục tiêu quốc gia giai đoạn 2021-2025 để tạo tiền đề triển khai giai đoạn mới kịp thời, đồng bộ.</w:t>
      </w:r>
    </w:p>
    <w:p w14:paraId="5148D102"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3D5FA9">
        <w:rPr>
          <w:rFonts w:ascii="Times New Roman" w:eastAsia="Times New Roman" w:hAnsi="Times New Roman" w:cs="Times New Roman"/>
          <w:b/>
          <w:bCs/>
          <w:color w:val="000000" w:themeColor="text1"/>
          <w:sz w:val="28"/>
          <w:szCs w:val="28"/>
          <w:lang w:val="vi-VN"/>
        </w:rPr>
        <w:t xml:space="preserve">4. Về chuyển đổi số: </w:t>
      </w:r>
    </w:p>
    <w:p w14:paraId="718710DE" w14:textId="03C76BA4"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xml:space="preserve">Hạ tầng kỹ thuật – công nghệ: Hình thành hạ tầng lưu trữ – tính toán tiêu chuẩn quốc tế, tiêu chuẩn xanh; phát triển các cụm trung tâm dữ liệu lớn; xây dựng tối thiểu 03 Trung tâm Dữ liệu quốc gia theo Nghị quyết 175/NQ-CP (30/10/2023); ưu tiên thuê dịch vụ hạ tầng, sử dụng hiệu quả Mạng truyền số liệu chuyên dùng; </w:t>
      </w:r>
    </w:p>
    <w:p w14:paraId="659EF800" w14:textId="4A21180C"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xml:space="preserve">Về thủ tục hành chính, dịch vụ công trực tuyến: Nâng cao chất lượng cung cấp dịch vụ công trực tuyến thực chất, hiệu quả, thông suốt, tạo điều kiện thuận lợi </w:t>
      </w:r>
      <w:r w:rsidRPr="003D5FA9">
        <w:rPr>
          <w:rFonts w:ascii="Times New Roman" w:eastAsia="Times New Roman" w:hAnsi="Times New Roman" w:cs="Times New Roman"/>
          <w:color w:val="000000" w:themeColor="text1"/>
          <w:sz w:val="28"/>
          <w:szCs w:val="28"/>
          <w:lang w:val="vi-VN"/>
        </w:rPr>
        <w:lastRenderedPageBreak/>
        <w:t>cho người dân, doanh nghiệp khi thực hiện thủ tục hành chính, dịch vụ công trực tuyến; tăng cường kiểm tra, giám sát việc giải quyết hồ sơ thủ tục hành chính của cán bộ phụ trách, nâng cao vai trò của người đứng đầu, bảo đảm phân định rõ trách nhiệm tỏng công tác quản lý, thực hiện</w:t>
      </w:r>
    </w:p>
    <w:p w14:paraId="1E9D12CF" w14:textId="0C146A1F"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xml:space="preserve"> Ứng dụng trong hệ thống chính trị: Phát triển Hệ thống chứng thực chữ ký số chuyên dùng công vụ; nâng cấp Nền tảng họp trực tuyến quốc gia thông suốt, an toàn, bảo mật từ Trung ương đến địa phương.</w:t>
      </w:r>
    </w:p>
    <w:p w14:paraId="0AE75DE1" w14:textId="60FD7D06"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xml:space="preserve"> Về xây dựng đưa vào vận hành các CSDL quốc gia – chia sẻ dữ liệu: Xây dựng Trung tâm Dữ liệu quốc gia và nền tảng cloud thống nhất; bảo đảm tài nguyên tính toán – lưu trữ cho các bộ, ngành, địa phương.</w:t>
      </w:r>
    </w:p>
    <w:p w14:paraId="69092992" w14:textId="79FF0CCA"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An toàn thông tin: Bảo mật Mạng truyền số liệu chuyên dùng của Đảng và Nhà nước; bảo đảm kết nối đồng bộ các nền tảng, ứng dụng dùng chung phục vụ xử lý văn bản và hồ sơ Mật, Tối mật.</w:t>
      </w:r>
    </w:p>
    <w:p w14:paraId="1F8CC605" w14:textId="19234AF3"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Đẩy mạnh hiện đại hóa hạ tầng số và an toàn hệ thống: (i) Nâng cấp hạ tầng CNTT của Bộ và các đơn vị: điện toán đám mây, bảo đảm ATTT cấp độ cao, hạ tầng kết nối dữ liệu xuyên suốt. (ii) Chuẩn hóa cơ chế quản trị, vận hành, giám sát an ninh mạng trên toàn hệ thống.</w:t>
      </w:r>
    </w:p>
    <w:p w14:paraId="76956A95" w14:textId="04AFB145" w:rsidR="001B3C14" w:rsidRPr="003D5FA9" w:rsidRDefault="001141A7" w:rsidP="001B3C14">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rPr>
      </w:pPr>
      <w:r w:rsidRPr="003D5FA9">
        <w:rPr>
          <w:rFonts w:ascii="Times New Roman" w:eastAsia="Times New Roman" w:hAnsi="Times New Roman" w:cs="Times New Roman"/>
          <w:b/>
          <w:bCs/>
          <w:color w:val="000000" w:themeColor="text1"/>
          <w:sz w:val="28"/>
          <w:szCs w:val="28"/>
        </w:rPr>
        <w:t>5.</w:t>
      </w:r>
      <w:r w:rsidR="001B3C14" w:rsidRPr="003D5FA9">
        <w:rPr>
          <w:rFonts w:ascii="Times New Roman" w:eastAsia="Times New Roman" w:hAnsi="Times New Roman" w:cs="Times New Roman"/>
          <w:b/>
          <w:bCs/>
          <w:color w:val="000000" w:themeColor="text1"/>
          <w:sz w:val="28"/>
          <w:szCs w:val="28"/>
          <w:lang w:val="vi-VN"/>
        </w:rPr>
        <w:t xml:space="preserve"> Về khoa học, công nghệ, đổi mới sáng tạo</w:t>
      </w:r>
    </w:p>
    <w:p w14:paraId="5D26BBE1"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3D5FA9">
        <w:rPr>
          <w:rFonts w:ascii="Times New Roman" w:eastAsia="Times New Roman" w:hAnsi="Times New Roman" w:cs="Times New Roman"/>
          <w:color w:val="000000" w:themeColor="text1"/>
          <w:sz w:val="28"/>
          <w:szCs w:val="28"/>
          <w:lang w:val="vi-VN"/>
        </w:rPr>
        <w:t>Đề xuất các vấn đề thúc đẩy phát triển: Mô hình hợp tác 3 Nhà, Khu công nghệ cao, đô thị thông minh, Trí tuệ nhân tạo, Công nghệ chiến lược, Sở hữu trí tuệ, Trung tâm đổi mới sáng tạo, Cổng sáng kiến và Sàn giao dịch KHCN, Quỹ đầu tư cho hoạt động KHCN, ĐMST, CĐS…Trong đó:</w:t>
      </w:r>
    </w:p>
    <w:p w14:paraId="37555401" w14:textId="6BB7D162"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3D5FA9">
        <w:rPr>
          <w:rFonts w:ascii="Times New Roman" w:eastAsia="Times New Roman" w:hAnsi="Times New Roman" w:cs="Times New Roman"/>
          <w:color w:val="000000" w:themeColor="text1"/>
          <w:sz w:val="28"/>
          <w:szCs w:val="28"/>
        </w:rPr>
        <w:t>Quyết liệt triển khai các công nghệ chiến lược (CNCL) theo danh mục đã được phê duyệt; tập trung các sản phẩm trọng điểm có khả năng làm chủ công nghệ, tạo hiệu ứng lan tỏa và hình thành năng lực sản xuất trong nước.</w:t>
      </w:r>
    </w:p>
    <w:p w14:paraId="127869F3" w14:textId="5FA6635F"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3D5FA9">
        <w:rPr>
          <w:rFonts w:ascii="Times New Roman" w:eastAsia="Times New Roman" w:hAnsi="Times New Roman" w:cs="Times New Roman"/>
          <w:color w:val="000000" w:themeColor="text1"/>
          <w:sz w:val="28"/>
          <w:szCs w:val="28"/>
        </w:rPr>
        <w:t>Tổ chức các hội thảo, diễn đàn chuyên đề để chia sẻ kinh nghiệm, mô hình hay, bài học thực tiễn trong triển khai công nghệ chiến lược, chuyển đổi số, đô thị thông minh và mô hình “3 nhà”, qua đó nhân rộng cách làm hiệu quả.</w:t>
      </w:r>
    </w:p>
    <w:p w14:paraId="4B9331F5" w14:textId="77777777" w:rsidR="00AF7442" w:rsidRPr="003D5FA9" w:rsidRDefault="00AF7442" w:rsidP="00AF7442">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3D5FA9">
        <w:rPr>
          <w:rFonts w:ascii="Times New Roman" w:eastAsia="Times New Roman" w:hAnsi="Times New Roman" w:cs="Times New Roman"/>
          <w:color w:val="000000" w:themeColor="text1"/>
          <w:sz w:val="28"/>
          <w:szCs w:val="28"/>
        </w:rPr>
        <w:t>Hình thành và phát triển đội ngũ doanh nghiệp đổi mới sáng tạo, đưa tinh thần đổi mới sáng tạo trở thành động lực cốt lõi trong hoạt động của doanh nghiệp KH&amp;CN; thúc đẩy doanh nghiệp tham gia sâu hơn vào nghiên cứu, phát triển và thương mại hóa kết quả KH&amp;CN.</w:t>
      </w:r>
    </w:p>
    <w:p w14:paraId="32029A5B" w14:textId="28AF59B0" w:rsidR="001B3C14" w:rsidRPr="003D5FA9" w:rsidRDefault="00AF7442"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rPr>
        <w:t>P</w:t>
      </w:r>
      <w:r w:rsidR="001B3C14" w:rsidRPr="003D5FA9">
        <w:rPr>
          <w:rFonts w:ascii="Times New Roman" w:eastAsia="Times New Roman" w:hAnsi="Times New Roman" w:cs="Times New Roman"/>
          <w:color w:val="000000" w:themeColor="text1"/>
          <w:sz w:val="28"/>
          <w:szCs w:val="28"/>
          <w:lang w:val="vi-VN"/>
        </w:rPr>
        <w:t>hát triển công nghệ chiến lược, lấy doanh nghiệp làm trung tâm: Tập trung phát triển thị trường KH&amp;CN, sàn giao dịch công nghệ; lấy doanh nghiệp làm trung tâm của hệ thống ĐMST. Phấn đấu đưa chỉ số Đổi mới sáng tạo toàn cầu (GII) lọt vào nhóm 04 nước dẫn đầu ASEAN. Thúc đẩy nghiên cứu, chuyển giao công nghệ lõi, công nghệ mới (bán dẫn, năng lượng mới...).</w:t>
      </w:r>
    </w:p>
    <w:p w14:paraId="421B95D6" w14:textId="2672CA4A"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lastRenderedPageBreak/>
        <w:t>Tăng cường hỗ trợ phát triển doanh nghiệp KH&amp;CN, doanh nghiệp KNST, bao gồm hoàn thiện cơ chế, chính sách ưu đãi; thành lập, vận hành các quỹ đầu tư mạo hiểm của địa phương; đẩy mạnh truyền thông, phổ biến chính sách và nâng cao chất lượng thực thi chính sách tại địa phương; triển khai hiệu quả các nhiệm vụ khoa học, công nghệ và đổi mới sáng tạo; tháo gỡ khó khăn, vướng mắc trong quá trình thực thi chính sách tại cơ sở.</w:t>
      </w:r>
    </w:p>
    <w:p w14:paraId="37500BD5" w14:textId="48775D56"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b/>
          <w:bCs/>
          <w:color w:val="000000" w:themeColor="text1"/>
          <w:sz w:val="28"/>
          <w:szCs w:val="28"/>
          <w:lang w:val="vi-VN"/>
        </w:rPr>
      </w:pPr>
      <w:r w:rsidRPr="003D5FA9">
        <w:rPr>
          <w:rFonts w:ascii="Times New Roman" w:eastAsia="Times New Roman" w:hAnsi="Times New Roman" w:cs="Times New Roman"/>
          <w:b/>
          <w:bCs/>
          <w:color w:val="000000" w:themeColor="text1"/>
          <w:sz w:val="28"/>
          <w:szCs w:val="28"/>
          <w:lang w:val="vi-VN"/>
        </w:rPr>
        <w:t xml:space="preserve">6. Về hợp tác quốc tế trong phát triển KHCN, ĐMST và CĐS </w:t>
      </w:r>
    </w:p>
    <w:p w14:paraId="14E2C319" w14:textId="77777777"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lang w:val="vi-VN"/>
        </w:rPr>
      </w:pPr>
      <w:r w:rsidRPr="003D5FA9">
        <w:rPr>
          <w:rFonts w:ascii="Times New Roman" w:eastAsia="Times New Roman" w:hAnsi="Times New Roman" w:cs="Times New Roman"/>
          <w:color w:val="000000" w:themeColor="text1"/>
          <w:sz w:val="28"/>
          <w:szCs w:val="28"/>
          <w:lang w:val="vi-VN"/>
        </w:rPr>
        <w:t>- Tập trung đẩy mạnh hợp tác nghiên cứu khoa học, phát triển công nghệ với các quốc gia có trình độ khoa học và công nghệ, chuyển đổi số phát triển, nhất là các lĩnh vực trí tuệ nhân tạo, công nghệ sinh học, công nghệ lượng tử, bán dẫn, năng lượng nguyên tử và các công nghệ chiến lược khác.</w:t>
      </w:r>
    </w:p>
    <w:p w14:paraId="5A634BF4" w14:textId="41705974" w:rsidR="001B3C14" w:rsidRPr="003D5FA9" w:rsidRDefault="001B3C14" w:rsidP="001B3C14">
      <w:pPr>
        <w:tabs>
          <w:tab w:val="left" w:pos="882"/>
        </w:tabs>
        <w:spacing w:before="120" w:after="120" w:line="340" w:lineRule="exact"/>
        <w:ind w:firstLine="709"/>
        <w:jc w:val="both"/>
        <w:rPr>
          <w:rFonts w:ascii="Times New Roman" w:eastAsia="Times New Roman" w:hAnsi="Times New Roman" w:cs="Times New Roman"/>
          <w:color w:val="000000" w:themeColor="text1"/>
          <w:sz w:val="28"/>
          <w:szCs w:val="28"/>
        </w:rPr>
      </w:pPr>
      <w:r w:rsidRPr="003D5FA9">
        <w:rPr>
          <w:rFonts w:ascii="Times New Roman" w:eastAsia="Times New Roman" w:hAnsi="Times New Roman" w:cs="Times New Roman"/>
          <w:color w:val="000000" w:themeColor="text1"/>
          <w:sz w:val="28"/>
          <w:szCs w:val="28"/>
          <w:lang w:val="vi-VN"/>
        </w:rPr>
        <w:t>- Mở rộng, phát huy hiệu quả hoạt động của mạng lưới đại diện KH&amp;CN Việt Nam ở nước ngoài trong việc khai thác, tìm kiếm nguồn lực thông tin về đối tác, chuyên gia nước ngoài, cập nhật xu hướng phát triển công nghệ của thế giới. Tăng cường thu hút chuyên gia, nhà khoa học Việt Nam ở nước ngoài, chuyên gia quốc tế tham gia hoạt động KH&amp;CN tại Việt Nam nhằm góp phần thúc đẩy dòng lưu chuyển tri thức và công nghệ từ nước ngoài về Việt Nam.</w:t>
      </w:r>
      <w:r w:rsidR="00CD7ED9" w:rsidRPr="003D5FA9">
        <w:rPr>
          <w:rFonts w:ascii="Times New Roman" w:eastAsia="Times New Roman" w:hAnsi="Times New Roman" w:cs="Times New Roman"/>
          <w:color w:val="000000" w:themeColor="text1"/>
          <w:sz w:val="28"/>
          <w:szCs w:val="28"/>
        </w:rPr>
        <w:t>/.</w:t>
      </w:r>
    </w:p>
    <w:p w14:paraId="29D8CEAE" w14:textId="5A4D60AD" w:rsidR="00106672" w:rsidRPr="003D5FA9" w:rsidRDefault="00106672" w:rsidP="001B3C14">
      <w:pPr>
        <w:tabs>
          <w:tab w:val="left" w:pos="882"/>
        </w:tabs>
        <w:spacing w:before="120" w:after="120" w:line="340" w:lineRule="exact"/>
        <w:ind w:firstLine="709"/>
        <w:jc w:val="both"/>
        <w:rPr>
          <w:rFonts w:ascii="Times New Roman" w:eastAsia="Calibri" w:hAnsi="Times New Roman" w:cs="Times New Roman"/>
          <w:sz w:val="28"/>
        </w:rPr>
      </w:pPr>
    </w:p>
    <w:sectPr w:rsidR="00106672" w:rsidRPr="003D5FA9" w:rsidSect="001C231A">
      <w:headerReference w:type="default" r:id="rId10"/>
      <w:pgSz w:w="11907" w:h="16840" w:code="9"/>
      <w:pgMar w:top="1134" w:right="1134" w:bottom="1134"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7B462" w14:textId="77777777" w:rsidR="00B32E22" w:rsidRDefault="00B32E22" w:rsidP="00AE2D02">
      <w:pPr>
        <w:spacing w:after="0" w:line="240" w:lineRule="auto"/>
      </w:pPr>
      <w:r>
        <w:separator/>
      </w:r>
    </w:p>
  </w:endnote>
  <w:endnote w:type="continuationSeparator" w:id="0">
    <w:p w14:paraId="4AB5053B" w14:textId="77777777" w:rsidR="00B32E22" w:rsidRDefault="00B32E22" w:rsidP="00AE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074B9" w14:textId="77777777" w:rsidR="00B32E22" w:rsidRDefault="00B32E22" w:rsidP="00AE2D02">
      <w:pPr>
        <w:spacing w:after="0" w:line="240" w:lineRule="auto"/>
      </w:pPr>
      <w:r>
        <w:separator/>
      </w:r>
    </w:p>
  </w:footnote>
  <w:footnote w:type="continuationSeparator" w:id="0">
    <w:p w14:paraId="63C7FCED" w14:textId="77777777" w:rsidR="00B32E22" w:rsidRDefault="00B32E22" w:rsidP="00AE2D02">
      <w:pPr>
        <w:spacing w:after="0" w:line="240" w:lineRule="auto"/>
      </w:pPr>
      <w:r>
        <w:continuationSeparator/>
      </w:r>
    </w:p>
  </w:footnote>
  <w:footnote w:id="1">
    <w:p w14:paraId="452791C5" w14:textId="77777777" w:rsidR="006652ED" w:rsidRPr="00B77F81" w:rsidRDefault="006652ED" w:rsidP="00B77F81">
      <w:pPr>
        <w:spacing w:after="0" w:line="240" w:lineRule="auto"/>
        <w:ind w:firstLine="720"/>
        <w:rPr>
          <w:rFonts w:ascii="Times New Roman" w:hAnsi="Times New Roman" w:cs="Times New Roman"/>
          <w:bCs/>
          <w:iCs/>
          <w:color w:val="000000"/>
          <w:spacing w:val="8"/>
          <w:lang w:val="vi-VN"/>
        </w:rPr>
      </w:pPr>
      <w:r w:rsidRPr="00B77F81">
        <w:rPr>
          <w:rStyle w:val="FootnoteReference"/>
          <w:rFonts w:ascii="Times New Roman" w:hAnsi="Times New Roman" w:cs="Times New Roman"/>
        </w:rPr>
        <w:footnoteRef/>
      </w:r>
      <w:r w:rsidRPr="00B77F81">
        <w:rPr>
          <w:rFonts w:ascii="Times New Roman" w:hAnsi="Times New Roman" w:cs="Times New Roman"/>
        </w:rPr>
        <w:t xml:space="preserve"> </w:t>
      </w:r>
      <w:r w:rsidRPr="00B77F81">
        <w:rPr>
          <w:rFonts w:ascii="Times New Roman" w:hAnsi="Times New Roman" w:cs="Times New Roman"/>
          <w:bCs/>
          <w:iCs/>
          <w:color w:val="000000"/>
          <w:spacing w:val="8"/>
          <w:lang w:val="vi-VN"/>
        </w:rPr>
        <w:t xml:space="preserve">Bộ Công an 12 CSDL; Bộ Tài chính 08 CSDL; Ngân hàng Nhà nước 04 CSDL; Tòa án nhân dân tối cao 01 </w:t>
      </w:r>
      <w:r w:rsidRPr="00B77F81">
        <w:rPr>
          <w:rFonts w:ascii="Times New Roman" w:hAnsi="Times New Roman" w:cs="Times New Roman"/>
          <w:bCs/>
          <w:iCs/>
          <w:color w:val="000000"/>
          <w:lang w:val="vi-VN"/>
        </w:rPr>
        <w:t>CSDL/HTTT; Văn phòng Chính phủ 01 CSDL; Tập đoàn điện lực Việt Nam (thuộc Bộ Công Thương) 01 CSDL; Bộ Tư pháp 02 CSDL; Bộ Nội vụ 01 CSDL</w:t>
      </w:r>
    </w:p>
  </w:footnote>
  <w:footnote w:id="2">
    <w:p w14:paraId="1A101CE4" w14:textId="77777777" w:rsidR="006652ED" w:rsidRPr="00B77F81" w:rsidRDefault="006652ED" w:rsidP="00B77F81">
      <w:pPr>
        <w:spacing w:after="0" w:line="240" w:lineRule="auto"/>
        <w:ind w:firstLine="720"/>
        <w:rPr>
          <w:rFonts w:ascii="Times New Roman" w:hAnsi="Times New Roman" w:cs="Times New Roman"/>
          <w:bCs/>
          <w:iCs/>
          <w:color w:val="000000"/>
          <w:spacing w:val="-8"/>
          <w:lang w:val="vi-VN"/>
        </w:rPr>
      </w:pPr>
      <w:r w:rsidRPr="00B77F81">
        <w:rPr>
          <w:rStyle w:val="FootnoteReference"/>
          <w:rFonts w:ascii="Times New Roman" w:hAnsi="Times New Roman" w:cs="Times New Roman"/>
        </w:rPr>
        <w:footnoteRef/>
      </w:r>
      <w:r w:rsidRPr="00B77F81">
        <w:rPr>
          <w:rFonts w:ascii="Times New Roman" w:hAnsi="Times New Roman" w:cs="Times New Roman"/>
          <w:lang w:val="vi-VN"/>
        </w:rPr>
        <w:t xml:space="preserve"> </w:t>
      </w:r>
      <w:r w:rsidRPr="00B77F81">
        <w:rPr>
          <w:rFonts w:ascii="Times New Roman" w:hAnsi="Times New Roman" w:cs="Times New Roman"/>
          <w:bCs/>
          <w:iCs/>
          <w:color w:val="000000"/>
          <w:spacing w:val="-8"/>
          <w:lang w:val="vi-VN"/>
        </w:rPr>
        <w:t>Bộ Công an 04 CSDL; Bộ Tài chính 06 CSDL; Bộ Dân tộc và Tôn giáo 01 CSDL; Bộ Nội vụ 03 CSDL; Bộ Nông nghiệp và Môi trường 01 CSDL; Bộ Tư pháp 02 CSDL; Bộ Văn hóa, Thể thao và Du lịch 03 CSDL; Bộ Xây dựng 06 CSDL; Bộ Y tế 06 CSDL; Bộ Giáo dục và Đào tạo 02 CSDL; Bộ Khoa học và Công nghệ 02 CSDL.</w:t>
      </w:r>
    </w:p>
    <w:p w14:paraId="77312700" w14:textId="77777777" w:rsidR="006652ED" w:rsidRPr="008F0A9D" w:rsidRDefault="006652ED" w:rsidP="006652ED">
      <w:pPr>
        <w:pStyle w:val="FootnoteText"/>
        <w:rPr>
          <w:lang w:val="vi-VN"/>
        </w:rPr>
      </w:pPr>
    </w:p>
  </w:footnote>
  <w:footnote w:id="3">
    <w:p w14:paraId="47822B21" w14:textId="77777777" w:rsidR="00AE2D02" w:rsidRDefault="00AE2D02" w:rsidP="00AE2D02">
      <w:pPr>
        <w:pStyle w:val="FootnoteText"/>
        <w:jc w:val="both"/>
      </w:pPr>
      <w:r>
        <w:rPr>
          <w:rStyle w:val="FootnoteReference"/>
        </w:rPr>
        <w:footnoteRef/>
      </w:r>
      <w:r>
        <w:t xml:space="preserve"> </w:t>
      </w:r>
      <w:r w:rsidRPr="000B32DD">
        <w:t>Mục tiêu chung đến năm 2030: phấn đấu ít nhất 03 thành phố lớn của Việt Nam nằm trong Top 50 bảng xếp hạng đô thị thông minh uy tín toàn cầu, phát triển theo định hướng lấy con người làm trung tâm; giao Bộ Xây dựng chủ trì, phối hợp với các cơ quan liên quan tham mưu giải quyết các khó khăn, vướng mắc của địa phương trong quá trình thực hiện phát triển đô thị thông minh.</w:t>
      </w:r>
    </w:p>
  </w:footnote>
  <w:footnote w:id="4">
    <w:p w14:paraId="67BD5F49" w14:textId="77777777" w:rsidR="00AE2D02" w:rsidRDefault="00AE2D02" w:rsidP="00AE2D02">
      <w:pPr>
        <w:pStyle w:val="FootnoteText"/>
        <w:jc w:val="both"/>
      </w:pPr>
      <w:r>
        <w:rPr>
          <w:rStyle w:val="FootnoteReference"/>
        </w:rPr>
        <w:footnoteRef/>
      </w:r>
      <w:r>
        <w:t xml:space="preserve"> </w:t>
      </w:r>
      <w:r w:rsidRPr="000B32DD">
        <w:t>IMD Smart City Index (SCI): là bảng xếp hạng quốc tế do Viện Phát triển Quản lý Quốc tế (IMD, Thụy Sĩ) thực hiện, có độ phổ biến cao trong truyền thông quốc tế, thường được các tổ chức, viện nghiên cứu trích dẫn. Cấu trúc Bộ chỉ số: đánh giá mức độ “thông minh” của các đô thị dựa trên hai trụ cột cốt lõi: Cơ sở hạ tầng (Structures) và Công nghệ (Technology), đồng thời nhấn mạnh yếu tố trải nghiệm của người dân đô thị trong việc thụ hưởng các dịch vụ và tiện ích thông minh.</w:t>
      </w:r>
    </w:p>
  </w:footnote>
  <w:footnote w:id="5">
    <w:p w14:paraId="66FD6C9A" w14:textId="77777777" w:rsidR="00AE2D02" w:rsidRDefault="00AE2D02" w:rsidP="00AE2D02">
      <w:pPr>
        <w:pStyle w:val="FootnoteText"/>
        <w:jc w:val="both"/>
      </w:pPr>
      <w:r>
        <w:rPr>
          <w:rStyle w:val="FootnoteReference"/>
        </w:rPr>
        <w:footnoteRef/>
      </w:r>
      <w:r>
        <w:t xml:space="preserve"> </w:t>
      </w:r>
      <w:r w:rsidRPr="000B32DD">
        <w:t>Thông báo số 45-TB/TGV ngày 30/9/2025 của Tổ giúp vịệc Ban Chỉ đạo Trung ương về phát triển khoa học, công nghệ, đổi mới sáng tạo và chuyển đổi số thông báo kết luận cuộc họp của Lãnh đạo Ban Chỉ đạo Trung ương về phát triển khoa học, công nghệ, đổi mới sáng tạo và chuyển đổi số với Thường trực Tổ giúp việc và các cơ quan có liên quan về đánh giá hiện trạng và một số nhiệm vụ, giải pháp thúc đẩy mô hình hợp tác 3 Nhà, hệ thống đổi mới sáng tạo quốc gia, khu công nghệ cao, đô thị thông minh và trí tuệ nhân tạo.</w:t>
      </w:r>
    </w:p>
  </w:footnote>
  <w:footnote w:id="6">
    <w:p w14:paraId="233C3E2B" w14:textId="77777777" w:rsidR="00AE2D02" w:rsidRDefault="00AE2D02" w:rsidP="00AE2D02">
      <w:pPr>
        <w:pStyle w:val="FootnoteText"/>
        <w:jc w:val="both"/>
      </w:pPr>
      <w:r>
        <w:rPr>
          <w:rStyle w:val="FootnoteReference"/>
        </w:rPr>
        <w:footnoteRef/>
      </w:r>
      <w:r>
        <w:t xml:space="preserve"> </w:t>
      </w:r>
      <w:r w:rsidRPr="000B32DD">
        <w:t>Thông báo số 382/TB-VPCP ngày 23/7/2025 thông báo Kết luận của Phó Thủ tướng Chính phủ Nguyễn Chí Dũng tại Phiên họp lần thứ nhất của Tổng công tác liên ngành điều phối xây dựng, triển khai đồng bộ đô thị thông minh</w:t>
      </w:r>
    </w:p>
  </w:footnote>
  <w:footnote w:id="7">
    <w:p w14:paraId="5929B283" w14:textId="77777777" w:rsidR="00AE2D02" w:rsidRDefault="00AE2D02" w:rsidP="00AE2D02">
      <w:pPr>
        <w:pStyle w:val="FootnoteText"/>
        <w:jc w:val="both"/>
      </w:pPr>
      <w:r>
        <w:rPr>
          <w:rStyle w:val="FootnoteReference"/>
        </w:rPr>
        <w:footnoteRef/>
      </w:r>
      <w:r>
        <w:t xml:space="preserve"> </w:t>
      </w:r>
      <w:r w:rsidRPr="004D2E26">
        <w:t>Quyết định số 1449/QĐ-UBND ngày 30/9/2025 của Ủy ban nhân dân Thành phố Cần Thơ về việc phê duyệt Chiến lược phát triển đô thị thông minh gắn với hạ tầng hiện đại, xây dựng nền tảng chính quyền đô thị số và ứng dụng trí tuệ nhân tạo trong điều hành, quản lý, phục vụ người dân, doanh nghiệp hướng tới chuyển đổi số, chuyển đổi xanh đến năm 2030 tại thành phố Cần Thơ.</w:t>
      </w:r>
    </w:p>
  </w:footnote>
  <w:footnote w:id="8">
    <w:p w14:paraId="2FB242F4" w14:textId="77777777" w:rsidR="00AE2D02" w:rsidRDefault="00AE2D02" w:rsidP="00AE2D02">
      <w:pPr>
        <w:pStyle w:val="FootnoteText"/>
        <w:jc w:val="both"/>
      </w:pPr>
      <w:r>
        <w:rPr>
          <w:rStyle w:val="FootnoteReference"/>
        </w:rPr>
        <w:footnoteRef/>
      </w:r>
      <w:r>
        <w:t xml:space="preserve"> </w:t>
      </w:r>
      <w:r w:rsidRPr="004D2E26">
        <w:t>Kế hoạch hành động số 243/KH-UBND ngày 08/9/2025 của UBND TP Hà Nội, Kế hoạch hành động số 246/KH UBND ngày 17/9/2025 của UBND TP Hải Phòng; Kế hoạch số 97/KH-UBND ngày 02/10/2025 của UBND TP Cần Thơ.</w:t>
      </w:r>
    </w:p>
  </w:footnote>
  <w:footnote w:id="9">
    <w:p w14:paraId="64BF4BAD" w14:textId="77777777" w:rsidR="00AE2D02" w:rsidRDefault="00AE2D02" w:rsidP="00AE2D02">
      <w:pPr>
        <w:pStyle w:val="FootnoteText"/>
      </w:pPr>
      <w:r>
        <w:rPr>
          <w:rStyle w:val="FootnoteReference"/>
        </w:rPr>
        <w:footnoteRef/>
      </w:r>
      <w:r>
        <w:t xml:space="preserve"> </w:t>
      </w:r>
      <w:r w:rsidRPr="004D2E26">
        <w:t>Đà Nẵng (năm 2018), Huế (năm 2018), TP. Hồ Chí Minh (năm 2021), Cần Thơ (năm 2021).</w:t>
      </w:r>
    </w:p>
  </w:footnote>
  <w:footnote w:id="10">
    <w:p w14:paraId="45C89F1D" w14:textId="77777777" w:rsidR="002A7701" w:rsidRPr="006646DE" w:rsidRDefault="002A7701" w:rsidP="002A7701">
      <w:pPr>
        <w:pStyle w:val="FootnoteText"/>
        <w:rPr>
          <w:lang w:val="vi-VN"/>
        </w:rPr>
      </w:pPr>
      <w:r>
        <w:rPr>
          <w:rStyle w:val="FootnoteReference"/>
        </w:rPr>
        <w:footnoteRef/>
      </w:r>
      <w:r w:rsidRPr="006646DE">
        <w:rPr>
          <w:lang w:val="vi-VN"/>
        </w:rPr>
        <w:t xml:space="preserve"> Lần đầu tiên hai bên ký kết thoả thuận hợp tác, đặt nền móng cho việc xây dựng và triển khai các chương trình dự án cụ thể về chính phủ số, đô thị thông minh, công nghiệp ICT, hàng không vũ trụ, kết nối doanh nghiệp công nghệ của hai nước.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726251"/>
      <w:docPartObj>
        <w:docPartGallery w:val="Page Numbers (Top of Page)"/>
        <w:docPartUnique/>
      </w:docPartObj>
    </w:sdtPr>
    <w:sdtEndPr>
      <w:rPr>
        <w:rFonts w:ascii="Times New Roman" w:hAnsi="Times New Roman" w:cs="Times New Roman"/>
        <w:noProof/>
      </w:rPr>
    </w:sdtEndPr>
    <w:sdtContent>
      <w:p w14:paraId="772B7240" w14:textId="09D19482" w:rsidR="001C231A" w:rsidRPr="001C231A" w:rsidRDefault="001C231A">
        <w:pPr>
          <w:pStyle w:val="Header"/>
          <w:jc w:val="center"/>
          <w:rPr>
            <w:rFonts w:ascii="Times New Roman" w:hAnsi="Times New Roman" w:cs="Times New Roman"/>
          </w:rPr>
        </w:pPr>
        <w:r w:rsidRPr="001C231A">
          <w:rPr>
            <w:rFonts w:ascii="Times New Roman" w:hAnsi="Times New Roman" w:cs="Times New Roman"/>
          </w:rPr>
          <w:fldChar w:fldCharType="begin"/>
        </w:r>
        <w:r w:rsidRPr="001C231A">
          <w:rPr>
            <w:rFonts w:ascii="Times New Roman" w:hAnsi="Times New Roman" w:cs="Times New Roman"/>
          </w:rPr>
          <w:instrText xml:space="preserve"> PAGE   \* MERGEFORMAT </w:instrText>
        </w:r>
        <w:r w:rsidRPr="001C231A">
          <w:rPr>
            <w:rFonts w:ascii="Times New Roman" w:hAnsi="Times New Roman" w:cs="Times New Roman"/>
          </w:rPr>
          <w:fldChar w:fldCharType="separate"/>
        </w:r>
        <w:r w:rsidR="003D5FA9">
          <w:rPr>
            <w:rFonts w:ascii="Times New Roman" w:hAnsi="Times New Roman" w:cs="Times New Roman"/>
            <w:noProof/>
          </w:rPr>
          <w:t>26</w:t>
        </w:r>
        <w:r w:rsidRPr="001C231A">
          <w:rPr>
            <w:rFonts w:ascii="Times New Roman" w:hAnsi="Times New Roman" w:cs="Times New Roman"/>
            <w:noProof/>
          </w:rPr>
          <w:fldChar w:fldCharType="end"/>
        </w:r>
      </w:p>
    </w:sdtContent>
  </w:sdt>
  <w:p w14:paraId="2AA9269B" w14:textId="77777777" w:rsidR="001C231A" w:rsidRDefault="001C23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B50AD"/>
    <w:multiLevelType w:val="hybridMultilevel"/>
    <w:tmpl w:val="2A30CAC2"/>
    <w:lvl w:ilvl="0" w:tplc="D6144130">
      <w:start w:val="1"/>
      <w:numFmt w:val="bullet"/>
      <w:lvlText w:val="-"/>
      <w:lvlJc w:val="left"/>
      <w:pPr>
        <w:ind w:left="1141" w:hanging="360"/>
      </w:pPr>
      <w:rPr>
        <w:rFonts w:ascii="Times New Roman" w:eastAsiaTheme="minorHAnsi" w:hAnsi="Times New Roman" w:cs="Times New Roman" w:hint="default"/>
      </w:rPr>
    </w:lvl>
    <w:lvl w:ilvl="1" w:tplc="042A0003" w:tentative="1">
      <w:start w:val="1"/>
      <w:numFmt w:val="bullet"/>
      <w:lvlText w:val="o"/>
      <w:lvlJc w:val="left"/>
      <w:pPr>
        <w:ind w:left="1861" w:hanging="360"/>
      </w:pPr>
      <w:rPr>
        <w:rFonts w:ascii="Courier New" w:hAnsi="Courier New" w:cs="Courier New" w:hint="default"/>
      </w:rPr>
    </w:lvl>
    <w:lvl w:ilvl="2" w:tplc="042A0005" w:tentative="1">
      <w:start w:val="1"/>
      <w:numFmt w:val="bullet"/>
      <w:lvlText w:val=""/>
      <w:lvlJc w:val="left"/>
      <w:pPr>
        <w:ind w:left="2581" w:hanging="360"/>
      </w:pPr>
      <w:rPr>
        <w:rFonts w:ascii="Wingdings" w:hAnsi="Wingdings" w:hint="default"/>
      </w:rPr>
    </w:lvl>
    <w:lvl w:ilvl="3" w:tplc="042A0001" w:tentative="1">
      <w:start w:val="1"/>
      <w:numFmt w:val="bullet"/>
      <w:lvlText w:val=""/>
      <w:lvlJc w:val="left"/>
      <w:pPr>
        <w:ind w:left="3301" w:hanging="360"/>
      </w:pPr>
      <w:rPr>
        <w:rFonts w:ascii="Symbol" w:hAnsi="Symbol" w:hint="default"/>
      </w:rPr>
    </w:lvl>
    <w:lvl w:ilvl="4" w:tplc="042A0003" w:tentative="1">
      <w:start w:val="1"/>
      <w:numFmt w:val="bullet"/>
      <w:lvlText w:val="o"/>
      <w:lvlJc w:val="left"/>
      <w:pPr>
        <w:ind w:left="4021" w:hanging="360"/>
      </w:pPr>
      <w:rPr>
        <w:rFonts w:ascii="Courier New" w:hAnsi="Courier New" w:cs="Courier New" w:hint="default"/>
      </w:rPr>
    </w:lvl>
    <w:lvl w:ilvl="5" w:tplc="042A0005" w:tentative="1">
      <w:start w:val="1"/>
      <w:numFmt w:val="bullet"/>
      <w:lvlText w:val=""/>
      <w:lvlJc w:val="left"/>
      <w:pPr>
        <w:ind w:left="4741" w:hanging="360"/>
      </w:pPr>
      <w:rPr>
        <w:rFonts w:ascii="Wingdings" w:hAnsi="Wingdings" w:hint="default"/>
      </w:rPr>
    </w:lvl>
    <w:lvl w:ilvl="6" w:tplc="042A0001" w:tentative="1">
      <w:start w:val="1"/>
      <w:numFmt w:val="bullet"/>
      <w:lvlText w:val=""/>
      <w:lvlJc w:val="left"/>
      <w:pPr>
        <w:ind w:left="5461" w:hanging="360"/>
      </w:pPr>
      <w:rPr>
        <w:rFonts w:ascii="Symbol" w:hAnsi="Symbol" w:hint="default"/>
      </w:rPr>
    </w:lvl>
    <w:lvl w:ilvl="7" w:tplc="042A0003" w:tentative="1">
      <w:start w:val="1"/>
      <w:numFmt w:val="bullet"/>
      <w:lvlText w:val="o"/>
      <w:lvlJc w:val="left"/>
      <w:pPr>
        <w:ind w:left="6181" w:hanging="360"/>
      </w:pPr>
      <w:rPr>
        <w:rFonts w:ascii="Courier New" w:hAnsi="Courier New" w:cs="Courier New" w:hint="default"/>
      </w:rPr>
    </w:lvl>
    <w:lvl w:ilvl="8" w:tplc="042A0005" w:tentative="1">
      <w:start w:val="1"/>
      <w:numFmt w:val="bullet"/>
      <w:lvlText w:val=""/>
      <w:lvlJc w:val="left"/>
      <w:pPr>
        <w:ind w:left="6901" w:hanging="360"/>
      </w:pPr>
      <w:rPr>
        <w:rFonts w:ascii="Wingdings" w:hAnsi="Wingdings" w:hint="default"/>
      </w:rPr>
    </w:lvl>
  </w:abstractNum>
  <w:abstractNum w:abstractNumId="10" w15:restartNumberingAfterBreak="0">
    <w:nsid w:val="1ABB37E7"/>
    <w:multiLevelType w:val="hybridMultilevel"/>
    <w:tmpl w:val="97368D58"/>
    <w:lvl w:ilvl="0" w:tplc="D938E3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73D2D49"/>
    <w:multiLevelType w:val="hybridMultilevel"/>
    <w:tmpl w:val="4D90F710"/>
    <w:lvl w:ilvl="0" w:tplc="2AC63F5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1F67"/>
    <w:rsid w:val="00034616"/>
    <w:rsid w:val="00035BF6"/>
    <w:rsid w:val="00052A67"/>
    <w:rsid w:val="00053413"/>
    <w:rsid w:val="00054189"/>
    <w:rsid w:val="0006063C"/>
    <w:rsid w:val="00060BE8"/>
    <w:rsid w:val="00061A76"/>
    <w:rsid w:val="00064AD9"/>
    <w:rsid w:val="000658E6"/>
    <w:rsid w:val="00070B95"/>
    <w:rsid w:val="00075C71"/>
    <w:rsid w:val="00085E9B"/>
    <w:rsid w:val="000862DE"/>
    <w:rsid w:val="00086C6C"/>
    <w:rsid w:val="000939B9"/>
    <w:rsid w:val="000950D0"/>
    <w:rsid w:val="000A15E8"/>
    <w:rsid w:val="000A161E"/>
    <w:rsid w:val="000B462B"/>
    <w:rsid w:val="000C19B0"/>
    <w:rsid w:val="000C71B6"/>
    <w:rsid w:val="000C7878"/>
    <w:rsid w:val="000E786A"/>
    <w:rsid w:val="00106672"/>
    <w:rsid w:val="00110F71"/>
    <w:rsid w:val="001141A7"/>
    <w:rsid w:val="00121F6D"/>
    <w:rsid w:val="001359A3"/>
    <w:rsid w:val="0015074B"/>
    <w:rsid w:val="001508B8"/>
    <w:rsid w:val="001534C9"/>
    <w:rsid w:val="0015757F"/>
    <w:rsid w:val="00157C4C"/>
    <w:rsid w:val="001671C6"/>
    <w:rsid w:val="00170857"/>
    <w:rsid w:val="00173CC9"/>
    <w:rsid w:val="00174C3D"/>
    <w:rsid w:val="0018695F"/>
    <w:rsid w:val="0018725C"/>
    <w:rsid w:val="001A1D84"/>
    <w:rsid w:val="001B3C14"/>
    <w:rsid w:val="001C231A"/>
    <w:rsid w:val="001C3607"/>
    <w:rsid w:val="001C4004"/>
    <w:rsid w:val="001C7319"/>
    <w:rsid w:val="001D1A53"/>
    <w:rsid w:val="00230914"/>
    <w:rsid w:val="002319F1"/>
    <w:rsid w:val="00232700"/>
    <w:rsid w:val="00255475"/>
    <w:rsid w:val="0026480D"/>
    <w:rsid w:val="00271914"/>
    <w:rsid w:val="00274A59"/>
    <w:rsid w:val="00285985"/>
    <w:rsid w:val="0029639D"/>
    <w:rsid w:val="002A7701"/>
    <w:rsid w:val="002C57B8"/>
    <w:rsid w:val="002D0115"/>
    <w:rsid w:val="002D4A77"/>
    <w:rsid w:val="00326F90"/>
    <w:rsid w:val="00344DB5"/>
    <w:rsid w:val="00354957"/>
    <w:rsid w:val="00364B14"/>
    <w:rsid w:val="0038187A"/>
    <w:rsid w:val="003B214F"/>
    <w:rsid w:val="003D5FA9"/>
    <w:rsid w:val="003E240D"/>
    <w:rsid w:val="003F547B"/>
    <w:rsid w:val="004262DA"/>
    <w:rsid w:val="00427498"/>
    <w:rsid w:val="00427B6D"/>
    <w:rsid w:val="00430FB8"/>
    <w:rsid w:val="00445895"/>
    <w:rsid w:val="0045553D"/>
    <w:rsid w:val="004559D8"/>
    <w:rsid w:val="00462117"/>
    <w:rsid w:val="00467CE0"/>
    <w:rsid w:val="00480349"/>
    <w:rsid w:val="00487F5A"/>
    <w:rsid w:val="00490D69"/>
    <w:rsid w:val="004C16A2"/>
    <w:rsid w:val="004F2F63"/>
    <w:rsid w:val="00516BE8"/>
    <w:rsid w:val="005249D3"/>
    <w:rsid w:val="005279C8"/>
    <w:rsid w:val="00555A92"/>
    <w:rsid w:val="005616E9"/>
    <w:rsid w:val="005662BE"/>
    <w:rsid w:val="00566633"/>
    <w:rsid w:val="00572BC2"/>
    <w:rsid w:val="0058723F"/>
    <w:rsid w:val="005C70E5"/>
    <w:rsid w:val="005D48E3"/>
    <w:rsid w:val="005D6DED"/>
    <w:rsid w:val="005F3240"/>
    <w:rsid w:val="00601457"/>
    <w:rsid w:val="006242B5"/>
    <w:rsid w:val="00626BBD"/>
    <w:rsid w:val="00645C26"/>
    <w:rsid w:val="00663DDD"/>
    <w:rsid w:val="006652ED"/>
    <w:rsid w:val="00683B57"/>
    <w:rsid w:val="006926DA"/>
    <w:rsid w:val="006A37A7"/>
    <w:rsid w:val="006C086B"/>
    <w:rsid w:val="006D26FD"/>
    <w:rsid w:val="006F35AC"/>
    <w:rsid w:val="006F78C4"/>
    <w:rsid w:val="007277DB"/>
    <w:rsid w:val="00734F8A"/>
    <w:rsid w:val="00735E0E"/>
    <w:rsid w:val="007415D0"/>
    <w:rsid w:val="00745F26"/>
    <w:rsid w:val="0075066C"/>
    <w:rsid w:val="0076354F"/>
    <w:rsid w:val="007639C5"/>
    <w:rsid w:val="0077736D"/>
    <w:rsid w:val="00784758"/>
    <w:rsid w:val="00795617"/>
    <w:rsid w:val="007A17C4"/>
    <w:rsid w:val="007A480E"/>
    <w:rsid w:val="007B3F09"/>
    <w:rsid w:val="007B7676"/>
    <w:rsid w:val="007D1F93"/>
    <w:rsid w:val="007E09CE"/>
    <w:rsid w:val="007E0F96"/>
    <w:rsid w:val="007F7441"/>
    <w:rsid w:val="00800415"/>
    <w:rsid w:val="00806A3A"/>
    <w:rsid w:val="008073D9"/>
    <w:rsid w:val="00807BB2"/>
    <w:rsid w:val="008178E7"/>
    <w:rsid w:val="00824AA3"/>
    <w:rsid w:val="00825503"/>
    <w:rsid w:val="00825670"/>
    <w:rsid w:val="00860EA5"/>
    <w:rsid w:val="00862FD7"/>
    <w:rsid w:val="0086477C"/>
    <w:rsid w:val="008736AC"/>
    <w:rsid w:val="00876D31"/>
    <w:rsid w:val="008931F1"/>
    <w:rsid w:val="008A64C4"/>
    <w:rsid w:val="008A7C85"/>
    <w:rsid w:val="008C0CF8"/>
    <w:rsid w:val="008C5240"/>
    <w:rsid w:val="008D1B81"/>
    <w:rsid w:val="008E14F2"/>
    <w:rsid w:val="008E74CD"/>
    <w:rsid w:val="008E7D2E"/>
    <w:rsid w:val="009056D9"/>
    <w:rsid w:val="0092400F"/>
    <w:rsid w:val="00942761"/>
    <w:rsid w:val="00954378"/>
    <w:rsid w:val="0095737C"/>
    <w:rsid w:val="00962800"/>
    <w:rsid w:val="0096385D"/>
    <w:rsid w:val="0096474A"/>
    <w:rsid w:val="00974D9D"/>
    <w:rsid w:val="0098184F"/>
    <w:rsid w:val="009A0CAC"/>
    <w:rsid w:val="009B6FC6"/>
    <w:rsid w:val="009E332C"/>
    <w:rsid w:val="009E6001"/>
    <w:rsid w:val="00A038B1"/>
    <w:rsid w:val="00A038E3"/>
    <w:rsid w:val="00A05181"/>
    <w:rsid w:val="00A06677"/>
    <w:rsid w:val="00A06BF4"/>
    <w:rsid w:val="00A1661A"/>
    <w:rsid w:val="00A27F3A"/>
    <w:rsid w:val="00A42425"/>
    <w:rsid w:val="00A55228"/>
    <w:rsid w:val="00A601FB"/>
    <w:rsid w:val="00AA1D8D"/>
    <w:rsid w:val="00AC1397"/>
    <w:rsid w:val="00AE2D02"/>
    <w:rsid w:val="00AF7442"/>
    <w:rsid w:val="00B05CA9"/>
    <w:rsid w:val="00B243CF"/>
    <w:rsid w:val="00B30B9A"/>
    <w:rsid w:val="00B32E22"/>
    <w:rsid w:val="00B47730"/>
    <w:rsid w:val="00B47FA4"/>
    <w:rsid w:val="00B56CD0"/>
    <w:rsid w:val="00B6115A"/>
    <w:rsid w:val="00B636AD"/>
    <w:rsid w:val="00B75F7A"/>
    <w:rsid w:val="00B77BF2"/>
    <w:rsid w:val="00B77F81"/>
    <w:rsid w:val="00B8118A"/>
    <w:rsid w:val="00B877B1"/>
    <w:rsid w:val="00B9255A"/>
    <w:rsid w:val="00BA2BE2"/>
    <w:rsid w:val="00BA3892"/>
    <w:rsid w:val="00BC2DC0"/>
    <w:rsid w:val="00BE3E20"/>
    <w:rsid w:val="00BF3F61"/>
    <w:rsid w:val="00C035E4"/>
    <w:rsid w:val="00C0680B"/>
    <w:rsid w:val="00C26616"/>
    <w:rsid w:val="00C33563"/>
    <w:rsid w:val="00C40AE7"/>
    <w:rsid w:val="00C709B4"/>
    <w:rsid w:val="00C76D9B"/>
    <w:rsid w:val="00C873DC"/>
    <w:rsid w:val="00CA0F13"/>
    <w:rsid w:val="00CA7AC8"/>
    <w:rsid w:val="00CB0664"/>
    <w:rsid w:val="00CB6CEF"/>
    <w:rsid w:val="00CD72F5"/>
    <w:rsid w:val="00CD7ED9"/>
    <w:rsid w:val="00CE4927"/>
    <w:rsid w:val="00CF5FE3"/>
    <w:rsid w:val="00D30C18"/>
    <w:rsid w:val="00D30E6A"/>
    <w:rsid w:val="00D31037"/>
    <w:rsid w:val="00D31452"/>
    <w:rsid w:val="00D60BA9"/>
    <w:rsid w:val="00D614B8"/>
    <w:rsid w:val="00D63617"/>
    <w:rsid w:val="00D85F22"/>
    <w:rsid w:val="00D86DC5"/>
    <w:rsid w:val="00D9110E"/>
    <w:rsid w:val="00D95E10"/>
    <w:rsid w:val="00D96AB3"/>
    <w:rsid w:val="00DA51BE"/>
    <w:rsid w:val="00DB04D7"/>
    <w:rsid w:val="00DB0C0E"/>
    <w:rsid w:val="00DB223F"/>
    <w:rsid w:val="00DC4210"/>
    <w:rsid w:val="00DC7899"/>
    <w:rsid w:val="00DD0D68"/>
    <w:rsid w:val="00E0118A"/>
    <w:rsid w:val="00E0445A"/>
    <w:rsid w:val="00E34686"/>
    <w:rsid w:val="00E3706B"/>
    <w:rsid w:val="00E44F8D"/>
    <w:rsid w:val="00E533E6"/>
    <w:rsid w:val="00E65BFF"/>
    <w:rsid w:val="00E82159"/>
    <w:rsid w:val="00E82664"/>
    <w:rsid w:val="00E947F0"/>
    <w:rsid w:val="00E96BFA"/>
    <w:rsid w:val="00E96C67"/>
    <w:rsid w:val="00EA41FE"/>
    <w:rsid w:val="00EB5AD0"/>
    <w:rsid w:val="00EB5B43"/>
    <w:rsid w:val="00ED2625"/>
    <w:rsid w:val="00ED5527"/>
    <w:rsid w:val="00EE0DE4"/>
    <w:rsid w:val="00EE2A6C"/>
    <w:rsid w:val="00F10362"/>
    <w:rsid w:val="00F13D64"/>
    <w:rsid w:val="00F362AC"/>
    <w:rsid w:val="00F4724F"/>
    <w:rsid w:val="00F53EB2"/>
    <w:rsid w:val="00F57911"/>
    <w:rsid w:val="00F941B2"/>
    <w:rsid w:val="00FB6B95"/>
    <w:rsid w:val="00FC64F7"/>
    <w:rsid w:val="00FC693F"/>
    <w:rsid w:val="00FD45F0"/>
    <w:rsid w:val="00FE218A"/>
    <w:rsid w:val="00FF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F7C03"/>
  <w14:defaultImageDpi w14:val="300"/>
  <w15:docId w15:val="{E3C6D964-9A07-49C8-9DC8-E4C5AC64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E240D"/>
    <w:rPr>
      <w:color w:val="0000FF" w:themeColor="hyperlink"/>
      <w:u w:val="single"/>
    </w:rPr>
  </w:style>
  <w:style w:type="character" w:customStyle="1" w:styleId="UnresolvedMention">
    <w:name w:val="Unresolved Mention"/>
    <w:basedOn w:val="DefaultParagraphFont"/>
    <w:uiPriority w:val="99"/>
    <w:semiHidden/>
    <w:unhideWhenUsed/>
    <w:rsid w:val="003E240D"/>
    <w:rPr>
      <w:color w:val="605E5C"/>
      <w:shd w:val="clear" w:color="auto" w:fill="E1DFDD"/>
    </w:rPr>
  </w:style>
  <w:style w:type="paragraph" w:styleId="NormalWeb">
    <w:name w:val="Normal (Web)"/>
    <w:basedOn w:val="Normal"/>
    <w:uiPriority w:val="99"/>
    <w:unhideWhenUsed/>
    <w:rsid w:val="00121F6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FootnoteText">
    <w:name w:val="footnote text"/>
    <w:basedOn w:val="Normal"/>
    <w:link w:val="FootnoteTextChar"/>
    <w:uiPriority w:val="99"/>
    <w:semiHidden/>
    <w:unhideWhenUsed/>
    <w:rsid w:val="00AE2D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D02"/>
    <w:rPr>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10 "/>
    <w:basedOn w:val="DefaultParagraphFont"/>
    <w:link w:val="RefChar"/>
    <w:uiPriority w:val="99"/>
    <w:unhideWhenUsed/>
    <w:qFormat/>
    <w:rsid w:val="00AE2D0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uiPriority w:val="99"/>
    <w:qFormat/>
    <w:rsid w:val="00AE2D02"/>
    <w:pPr>
      <w:widowControl w:val="0"/>
      <w:spacing w:after="160" w:line="240" w:lineRule="exact"/>
    </w:pPr>
    <w:rPr>
      <w:vertAlign w:val="superscript"/>
    </w:rPr>
  </w:style>
  <w:style w:type="paragraph" w:customStyle="1" w:styleId="Normal1">
    <w:name w:val="Normal1"/>
    <w:rsid w:val="000A15E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88207">
      <w:bodyDiv w:val="1"/>
      <w:marLeft w:val="0"/>
      <w:marRight w:val="0"/>
      <w:marTop w:val="0"/>
      <w:marBottom w:val="0"/>
      <w:divBdr>
        <w:top w:val="none" w:sz="0" w:space="0" w:color="auto"/>
        <w:left w:val="none" w:sz="0" w:space="0" w:color="auto"/>
        <w:bottom w:val="none" w:sz="0" w:space="0" w:color="auto"/>
        <w:right w:val="none" w:sz="0" w:space="0" w:color="auto"/>
      </w:divBdr>
    </w:div>
    <w:div w:id="612639132">
      <w:bodyDiv w:val="1"/>
      <w:marLeft w:val="0"/>
      <w:marRight w:val="0"/>
      <w:marTop w:val="0"/>
      <w:marBottom w:val="0"/>
      <w:divBdr>
        <w:top w:val="none" w:sz="0" w:space="0" w:color="auto"/>
        <w:left w:val="none" w:sz="0" w:space="0" w:color="auto"/>
        <w:bottom w:val="none" w:sz="0" w:space="0" w:color="auto"/>
        <w:right w:val="none" w:sz="0" w:space="0" w:color="auto"/>
      </w:divBdr>
    </w:div>
    <w:div w:id="711807752">
      <w:bodyDiv w:val="1"/>
      <w:marLeft w:val="0"/>
      <w:marRight w:val="0"/>
      <w:marTop w:val="0"/>
      <w:marBottom w:val="0"/>
      <w:divBdr>
        <w:top w:val="none" w:sz="0" w:space="0" w:color="auto"/>
        <w:left w:val="none" w:sz="0" w:space="0" w:color="auto"/>
        <w:bottom w:val="none" w:sz="0" w:space="0" w:color="auto"/>
        <w:right w:val="none" w:sz="0" w:space="0" w:color="auto"/>
      </w:divBdr>
    </w:div>
    <w:div w:id="1158112576">
      <w:bodyDiv w:val="1"/>
      <w:marLeft w:val="0"/>
      <w:marRight w:val="0"/>
      <w:marTop w:val="0"/>
      <w:marBottom w:val="0"/>
      <w:divBdr>
        <w:top w:val="none" w:sz="0" w:space="0" w:color="auto"/>
        <w:left w:val="none" w:sz="0" w:space="0" w:color="auto"/>
        <w:bottom w:val="none" w:sz="0" w:space="0" w:color="auto"/>
        <w:right w:val="none" w:sz="0" w:space="0" w:color="auto"/>
      </w:divBdr>
    </w:div>
    <w:div w:id="1303541685">
      <w:bodyDiv w:val="1"/>
      <w:marLeft w:val="0"/>
      <w:marRight w:val="0"/>
      <w:marTop w:val="0"/>
      <w:marBottom w:val="0"/>
      <w:divBdr>
        <w:top w:val="none" w:sz="0" w:space="0" w:color="auto"/>
        <w:left w:val="none" w:sz="0" w:space="0" w:color="auto"/>
        <w:bottom w:val="none" w:sz="0" w:space="0" w:color="auto"/>
        <w:right w:val="none" w:sz="0" w:space="0" w:color="auto"/>
      </w:divBdr>
    </w:div>
    <w:div w:id="1458570023">
      <w:bodyDiv w:val="1"/>
      <w:marLeft w:val="0"/>
      <w:marRight w:val="0"/>
      <w:marTop w:val="0"/>
      <w:marBottom w:val="0"/>
      <w:divBdr>
        <w:top w:val="none" w:sz="0" w:space="0" w:color="auto"/>
        <w:left w:val="none" w:sz="0" w:space="0" w:color="auto"/>
        <w:bottom w:val="none" w:sz="0" w:space="0" w:color="auto"/>
        <w:right w:val="none" w:sz="0" w:space="0" w:color="auto"/>
      </w:divBdr>
    </w:div>
    <w:div w:id="1479148379">
      <w:bodyDiv w:val="1"/>
      <w:marLeft w:val="0"/>
      <w:marRight w:val="0"/>
      <w:marTop w:val="0"/>
      <w:marBottom w:val="0"/>
      <w:divBdr>
        <w:top w:val="none" w:sz="0" w:space="0" w:color="auto"/>
        <w:left w:val="none" w:sz="0" w:space="0" w:color="auto"/>
        <w:bottom w:val="none" w:sz="0" w:space="0" w:color="auto"/>
        <w:right w:val="none" w:sz="0" w:space="0" w:color="auto"/>
      </w:divBdr>
    </w:div>
    <w:div w:id="1577738101">
      <w:bodyDiv w:val="1"/>
      <w:marLeft w:val="0"/>
      <w:marRight w:val="0"/>
      <w:marTop w:val="0"/>
      <w:marBottom w:val="0"/>
      <w:divBdr>
        <w:top w:val="none" w:sz="0" w:space="0" w:color="auto"/>
        <w:left w:val="none" w:sz="0" w:space="0" w:color="auto"/>
        <w:bottom w:val="none" w:sz="0" w:space="0" w:color="auto"/>
        <w:right w:val="none" w:sz="0" w:space="0" w:color="auto"/>
      </w:divBdr>
    </w:div>
    <w:div w:id="1809129899">
      <w:bodyDiv w:val="1"/>
      <w:marLeft w:val="0"/>
      <w:marRight w:val="0"/>
      <w:marTop w:val="0"/>
      <w:marBottom w:val="0"/>
      <w:divBdr>
        <w:top w:val="none" w:sz="0" w:space="0" w:color="auto"/>
        <w:left w:val="none" w:sz="0" w:space="0" w:color="auto"/>
        <w:bottom w:val="none" w:sz="0" w:space="0" w:color="auto"/>
        <w:right w:val="none" w:sz="0" w:space="0" w:color="auto"/>
      </w:divBdr>
    </w:div>
    <w:div w:id="1938519076">
      <w:bodyDiv w:val="1"/>
      <w:marLeft w:val="0"/>
      <w:marRight w:val="0"/>
      <w:marTop w:val="0"/>
      <w:marBottom w:val="0"/>
      <w:divBdr>
        <w:top w:val="none" w:sz="0" w:space="0" w:color="auto"/>
        <w:left w:val="none" w:sz="0" w:space="0" w:color="auto"/>
        <w:bottom w:val="none" w:sz="0" w:space="0" w:color="auto"/>
        <w:right w:val="none" w:sz="0" w:space="0" w:color="auto"/>
      </w:divBdr>
    </w:div>
    <w:div w:id="1957179950">
      <w:bodyDiv w:val="1"/>
      <w:marLeft w:val="0"/>
      <w:marRight w:val="0"/>
      <w:marTop w:val="0"/>
      <w:marBottom w:val="0"/>
      <w:divBdr>
        <w:top w:val="none" w:sz="0" w:space="0" w:color="auto"/>
        <w:left w:val="none" w:sz="0" w:space="0" w:color="auto"/>
        <w:bottom w:val="none" w:sz="0" w:space="0" w:color="auto"/>
        <w:right w:val="none" w:sz="0" w:space="0" w:color="auto"/>
      </w:divBdr>
    </w:div>
    <w:div w:id="2037194791">
      <w:bodyDiv w:val="1"/>
      <w:marLeft w:val="0"/>
      <w:marRight w:val="0"/>
      <w:marTop w:val="0"/>
      <w:marBottom w:val="0"/>
      <w:divBdr>
        <w:top w:val="none" w:sz="0" w:space="0" w:color="auto"/>
        <w:left w:val="none" w:sz="0" w:space="0" w:color="auto"/>
        <w:bottom w:val="none" w:sz="0" w:space="0" w:color="auto"/>
        <w:right w:val="none" w:sz="0" w:space="0" w:color="auto"/>
      </w:divBdr>
    </w:div>
    <w:div w:id="2078092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Biểu đổ 4: 20 CSDL có thành phần hồ sơ nhiều nhất và xuất hiện phổ biến nhất trong các thủ tục hành chính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Sheet1!$C$3</c:f>
              <c:strCache>
                <c:ptCount val="1"/>
                <c:pt idx="0">
                  <c:v>Số lượng TPHS có liên quan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Sheet1!$B$4:$B$23</c:f>
              <c:strCache>
                <c:ptCount val="20"/>
                <c:pt idx="0">
                  <c:v>CSDL quốc gia về đăng ký doanh nghiệp</c:v>
                </c:pt>
                <c:pt idx="1">
                  <c:v>CSDL Hải quan</c:v>
                </c:pt>
                <c:pt idx="2">
                  <c:v>CSDL về Giáo dục Đại học và Văn bằng, chứng chỉ</c:v>
                </c:pt>
                <c:pt idx="3">
                  <c:v>CSDL quốc gia về xuất nhập cảnh</c:v>
                </c:pt>
                <c:pt idx="4">
                  <c:v>CSDL người lao động</c:v>
                </c:pt>
                <c:pt idx="5">
                  <c:v>CSDL quốc gia về tiêu chuẩn, đo lường, chất lượng</c:v>
                </c:pt>
                <c:pt idx="6">
                  <c:v>CSDL quốc gia về dân cư</c:v>
                </c:pt>
                <c:pt idx="7">
                  <c:v>CSDL quốc gia về cán bộ</c:v>
                </c:pt>
                <c:pt idx="8">
                  <c:v>CSDL căn cước công dân</c:v>
                </c:pt>
                <c:pt idx="9">
                  <c:v>CSDL về dược và mỹ phẩm</c:v>
                </c:pt>
                <c:pt idx="10">
                  <c:v>CSDL môi trường quốc gia</c:v>
                </c:pt>
                <c:pt idx="11">
                  <c:v>CSDL công chứng</c:v>
                </c:pt>
                <c:pt idx="12">
                  <c:v>CSDL hộ tịch điện tử</c:v>
                </c:pt>
                <c:pt idx="13">
                  <c:v>CSDL quản lý khám chữa bệnh &amp; hành nghề y tế</c:v>
                </c:pt>
                <c:pt idx="14">
                  <c:v>CSDL thuế</c:v>
                </c:pt>
                <c:pt idx="15">
                  <c:v>CSDL về đăng ký hợp tác xã</c:v>
                </c:pt>
                <c:pt idx="16">
                  <c:v>CSDL lý lịch tư pháp</c:v>
                </c:pt>
                <c:pt idx="17">
                  <c:v>CSDL quốc gia về Bảo hiểm</c:v>
                </c:pt>
                <c:pt idx="18">
                  <c:v>CSDL hợp pháp hóa lãnh sự</c:v>
                </c:pt>
                <c:pt idx="19">
                  <c:v>CSDL quốc gia về đất đai</c:v>
                </c:pt>
              </c:strCache>
            </c:strRef>
          </c:cat>
          <c:val>
            <c:numRef>
              <c:f>Sheet1!$C$4:$C$23</c:f>
              <c:numCache>
                <c:formatCode>General</c:formatCode>
                <c:ptCount val="20"/>
                <c:pt idx="0">
                  <c:v>5196</c:v>
                </c:pt>
                <c:pt idx="1">
                  <c:v>1979</c:v>
                </c:pt>
                <c:pt idx="2">
                  <c:v>1572</c:v>
                </c:pt>
                <c:pt idx="3">
                  <c:v>1495</c:v>
                </c:pt>
                <c:pt idx="4">
                  <c:v>1473</c:v>
                </c:pt>
                <c:pt idx="5">
                  <c:v>1460</c:v>
                </c:pt>
                <c:pt idx="6">
                  <c:v>1260</c:v>
                </c:pt>
                <c:pt idx="7">
                  <c:v>1123</c:v>
                </c:pt>
                <c:pt idx="8">
                  <c:v>1108</c:v>
                </c:pt>
                <c:pt idx="9">
                  <c:v>916</c:v>
                </c:pt>
                <c:pt idx="10">
                  <c:v>781</c:v>
                </c:pt>
                <c:pt idx="11">
                  <c:v>755</c:v>
                </c:pt>
                <c:pt idx="12">
                  <c:v>709</c:v>
                </c:pt>
                <c:pt idx="13">
                  <c:v>648</c:v>
                </c:pt>
                <c:pt idx="14">
                  <c:v>600</c:v>
                </c:pt>
                <c:pt idx="15">
                  <c:v>576</c:v>
                </c:pt>
                <c:pt idx="16">
                  <c:v>572</c:v>
                </c:pt>
                <c:pt idx="17">
                  <c:v>500</c:v>
                </c:pt>
                <c:pt idx="18">
                  <c:v>431</c:v>
                </c:pt>
                <c:pt idx="19">
                  <c:v>426</c:v>
                </c:pt>
              </c:numCache>
            </c:numRef>
          </c:val>
          <c:extLst>
            <c:ext xmlns:c16="http://schemas.microsoft.com/office/drawing/2014/chart" uri="{C3380CC4-5D6E-409C-BE32-E72D297353CC}">
              <c16:uniqueId val="{00000000-2DC1-4B98-91FE-26513071B20A}"/>
            </c:ext>
          </c:extLst>
        </c:ser>
        <c:ser>
          <c:idx val="1"/>
          <c:order val="1"/>
          <c:tx>
            <c:strRef>
              <c:f>Sheet1!$D$3</c:f>
              <c:strCache>
                <c:ptCount val="1"/>
                <c:pt idx="0">
                  <c:v>Số lượng TTHC có liên quan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Sheet1!$B$4:$B$23</c:f>
              <c:strCache>
                <c:ptCount val="20"/>
                <c:pt idx="0">
                  <c:v>CSDL quốc gia về đăng ký doanh nghiệp</c:v>
                </c:pt>
                <c:pt idx="1">
                  <c:v>CSDL Hải quan</c:v>
                </c:pt>
                <c:pt idx="2">
                  <c:v>CSDL về Giáo dục Đại học và Văn bằng, chứng chỉ</c:v>
                </c:pt>
                <c:pt idx="3">
                  <c:v>CSDL quốc gia về xuất nhập cảnh</c:v>
                </c:pt>
                <c:pt idx="4">
                  <c:v>CSDL người lao động</c:v>
                </c:pt>
                <c:pt idx="5">
                  <c:v>CSDL quốc gia về tiêu chuẩn, đo lường, chất lượng</c:v>
                </c:pt>
                <c:pt idx="6">
                  <c:v>CSDL quốc gia về dân cư</c:v>
                </c:pt>
                <c:pt idx="7">
                  <c:v>CSDL quốc gia về cán bộ</c:v>
                </c:pt>
                <c:pt idx="8">
                  <c:v>CSDL căn cước công dân</c:v>
                </c:pt>
                <c:pt idx="9">
                  <c:v>CSDL về dược và mỹ phẩm</c:v>
                </c:pt>
                <c:pt idx="10">
                  <c:v>CSDL môi trường quốc gia</c:v>
                </c:pt>
                <c:pt idx="11">
                  <c:v>CSDL công chứng</c:v>
                </c:pt>
                <c:pt idx="12">
                  <c:v>CSDL hộ tịch điện tử</c:v>
                </c:pt>
                <c:pt idx="13">
                  <c:v>CSDL quản lý khám chữa bệnh &amp; hành nghề y tế</c:v>
                </c:pt>
                <c:pt idx="14">
                  <c:v>CSDL thuế</c:v>
                </c:pt>
                <c:pt idx="15">
                  <c:v>CSDL về đăng ký hợp tác xã</c:v>
                </c:pt>
                <c:pt idx="16">
                  <c:v>CSDL lý lịch tư pháp</c:v>
                </c:pt>
                <c:pt idx="17">
                  <c:v>CSDL quốc gia về Bảo hiểm</c:v>
                </c:pt>
                <c:pt idx="18">
                  <c:v>CSDL hợp pháp hóa lãnh sự</c:v>
                </c:pt>
                <c:pt idx="19">
                  <c:v>CSDL quốc gia về đất đai</c:v>
                </c:pt>
              </c:strCache>
            </c:strRef>
          </c:cat>
          <c:val>
            <c:numRef>
              <c:f>Sheet1!$D$4:$D$23</c:f>
              <c:numCache>
                <c:formatCode>General</c:formatCode>
                <c:ptCount val="20"/>
                <c:pt idx="0">
                  <c:v>1512</c:v>
                </c:pt>
                <c:pt idx="1">
                  <c:v>510</c:v>
                </c:pt>
                <c:pt idx="2">
                  <c:v>537</c:v>
                </c:pt>
                <c:pt idx="3">
                  <c:v>411</c:v>
                </c:pt>
                <c:pt idx="4">
                  <c:v>419</c:v>
                </c:pt>
                <c:pt idx="5">
                  <c:v>473</c:v>
                </c:pt>
                <c:pt idx="6">
                  <c:v>288</c:v>
                </c:pt>
                <c:pt idx="7">
                  <c:v>323</c:v>
                </c:pt>
                <c:pt idx="8">
                  <c:v>296</c:v>
                </c:pt>
                <c:pt idx="9">
                  <c:v>241</c:v>
                </c:pt>
                <c:pt idx="10">
                  <c:v>357</c:v>
                </c:pt>
                <c:pt idx="11">
                  <c:v>252</c:v>
                </c:pt>
                <c:pt idx="12">
                  <c:v>126</c:v>
                </c:pt>
                <c:pt idx="13">
                  <c:v>196</c:v>
                </c:pt>
                <c:pt idx="14">
                  <c:v>205</c:v>
                </c:pt>
                <c:pt idx="15">
                  <c:v>142</c:v>
                </c:pt>
                <c:pt idx="16">
                  <c:v>125</c:v>
                </c:pt>
                <c:pt idx="17">
                  <c:v>134</c:v>
                </c:pt>
                <c:pt idx="18">
                  <c:v>151</c:v>
                </c:pt>
                <c:pt idx="19">
                  <c:v>172</c:v>
                </c:pt>
              </c:numCache>
            </c:numRef>
          </c:val>
          <c:extLst>
            <c:ext xmlns:c16="http://schemas.microsoft.com/office/drawing/2014/chart" uri="{C3380CC4-5D6E-409C-BE32-E72D297353CC}">
              <c16:uniqueId val="{00000001-2DC1-4B98-91FE-26513071B20A}"/>
            </c:ext>
          </c:extLst>
        </c:ser>
        <c:dLbls>
          <c:showLegendKey val="0"/>
          <c:showVal val="0"/>
          <c:showCatName val="0"/>
          <c:showSerName val="0"/>
          <c:showPercent val="0"/>
          <c:showBubbleSize val="0"/>
        </c:dLbls>
        <c:gapWidth val="182"/>
        <c:axId val="407137328"/>
        <c:axId val="407139600"/>
      </c:barChart>
      <c:catAx>
        <c:axId val="407137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7139600"/>
        <c:crosses val="autoZero"/>
        <c:auto val="1"/>
        <c:lblAlgn val="ctr"/>
        <c:lblOffset val="100"/>
        <c:noMultiLvlLbl val="0"/>
      </c:catAx>
      <c:valAx>
        <c:axId val="407139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13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C3CE-EEA6-48A2-928E-35F09E67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15694</Words>
  <Characters>89460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BKHCN</cp:lastModifiedBy>
  <cp:revision>11</cp:revision>
  <dcterms:created xsi:type="dcterms:W3CDTF">2025-12-17T05:00:00Z</dcterms:created>
  <dcterms:modified xsi:type="dcterms:W3CDTF">2025-12-18T01:06:00Z</dcterms:modified>
  <cp:category/>
</cp:coreProperties>
</file>