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5528"/>
      </w:tblGrid>
      <w:tr w:rsidR="00094402" w:rsidRPr="00034C71" w14:paraId="29C41E56" w14:textId="77777777" w:rsidTr="00EF4BB5">
        <w:tc>
          <w:tcPr>
            <w:tcW w:w="4679" w:type="dxa"/>
          </w:tcPr>
          <w:p w14:paraId="5C7C9B55" w14:textId="77777777" w:rsidR="00194904" w:rsidRPr="00034C71" w:rsidRDefault="000A575B" w:rsidP="000A57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HỘI ĐỒNG NHÂN DÂN</w:t>
            </w:r>
          </w:p>
          <w:p w14:paraId="335FF9BA" w14:textId="77777777" w:rsidR="000A575B" w:rsidRPr="00034C71" w:rsidRDefault="000A575B" w:rsidP="000A57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>TỈNH TUYÊN QUANG</w:t>
            </w:r>
          </w:p>
          <w:p w14:paraId="03FC12FD" w14:textId="77777777" w:rsidR="000A575B" w:rsidRPr="00034C71" w:rsidRDefault="000A575B" w:rsidP="000A575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/>
                <w:noProof/>
                <w:color w:val="auto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84061" wp14:editId="6F9E9F1D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11430</wp:posOffset>
                      </wp:positionV>
                      <wp:extent cx="8890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CF44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95pt,.9pt" to="153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2hsgEAALYDAAAOAAAAZHJzL2Uyb0RvYy54bWysU02P0zAQvSPxHyzfadI9oBI13UNXcEFQ&#10;sfADvM64sbA91tg06b9n7LZZBAghxMXxx3sz895Mtvezd+IElCyGXq5XrRQQNA42HHv55fPbVxsp&#10;UlZhUA4D9PIMSd7vXr7YTrGDOxzRDUCCg4TUTbGXY86xa5qkR/AqrTBC4EeD5FXmIx2bgdTE0b1r&#10;7tr2dTMhDZFQQ0p8+3B5lLsa3xjQ+aMxCbJwveTacl2prk9lbXZb1R1JxdHqaxnqH6rwygZOuoR6&#10;UFmJb2R/CeWtJkxo8kqjb9AYq6FqYDXr9ic1j6OKULWwOSkuNqX/F1Z/OB1I2IF7J0VQnlv0mEnZ&#10;45jFHkNgA5HEuvg0xdQxfB8OdD2leKAiejbky5fliLl6e168hTkLzZebzZu25Q7o21PzzIuU8jtA&#10;L8qml86Golp16vQ+Zc7F0BuED6WOS+a6y2cHBezCJzCshHOtK7vOEOwdiZPi7g9fqwqOVZGFYqxz&#10;C6n9M+mKLTSoc/W3xAVdM2LIC9HbgPS7rHm+lWou+Jvqi9Yi+wmHc+1DtYOHo7p0HeQyfT+eK/35&#10;d9t9BwAA//8DAFBLAwQUAAYACAAAACEAguGGRNkAAAAHAQAADwAAAGRycy9kb3ducmV2LnhtbEyP&#10;wU7DMAyG70i8Q2QkbixlSAVK02mahBAXxDq4Z42XFhKnatKuvD0eF3bzJ//6/blczd6JCYfYBVJw&#10;u8hAIDXBdGQVfOyebx5AxKTJaBcIFfxghFV1eVHqwoQjbXGqkxVcQrHQCtqU+kLK2LTodVyEHol3&#10;hzB4nRgHK82gj1zunVxmWS697ogvtLrHTYvNdz16Be51mD7txq7j+LLN66/3w/JtNyl1fTWvn0Ak&#10;nNN/GE76rA4VO+3DSCYKx5zfP3KUB/6A93fZifd/LKtSnvtXvwAAAP//AwBQSwECLQAUAAYACAAA&#10;ACEAtoM4kv4AAADhAQAAEwAAAAAAAAAAAAAAAAAAAAAAW0NvbnRlbnRfVHlwZXNdLnhtbFBLAQIt&#10;ABQABgAIAAAAIQA4/SH/1gAAAJQBAAALAAAAAAAAAAAAAAAAAC8BAABfcmVscy8ucmVsc1BLAQIt&#10;ABQABgAIAAAAIQB55J2hsgEAALYDAAAOAAAAAAAAAAAAAAAAAC4CAABkcnMvZTJvRG9jLnhtbFBL&#10;AQItABQABgAIAAAAIQCC4YZE2QAAAAcBAAAPAAAAAAAAAAAAAAAAAAw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8" w:type="dxa"/>
          </w:tcPr>
          <w:p w14:paraId="78713326" w14:textId="77777777" w:rsidR="00194904" w:rsidRPr="00034C71" w:rsidRDefault="000A575B" w:rsidP="000A57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34C71">
              <w:rPr>
                <w:rFonts w:ascii="Times New Roman" w:eastAsia="Times New Roman" w:hAnsi="Times New Roman" w:cs="Times New Roman"/>
                <w:b/>
                <w:noProof/>
                <w:color w:val="auto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BB6B60" wp14:editId="73130588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397510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CDE5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31.3pt" to="220.5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fatgEAALcDAAAOAAAAZHJzL2Uyb0RvYy54bWysU01v2zAMvQ/ofxB0b/xRo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ubmtaQTy8la9EAPG&#10;9FmBY/nQc2t8li06cXiIiZIR9AIhJxdySl1O6WhVBlv/TWmSQsmawi5LpLYW2UHQ+IfnJsugWAWZ&#10;KdpYu5Dqv5PO2ExTZbH+lbigS0bwaSE64wH/lDXNl1L1CX9RfdKaZT/BcCyDKO2g7SjKzpuc1+93&#10;v9Bf/rfNLwAAAP//AwBQSwMEFAAGAAgAAAAhAPs/SbfcAAAACQEAAA8AAABkcnMvZG93bnJldi54&#10;bWxMj81OwzAQhO9IvIO1SNyok6hEKMSpqkoIcUE0hbsbb52AfyLbScPbs4gDPc7sp9mZerNYw2YM&#10;cfBOQL7KgKHrvBqcFvB+eLp7ABaTdEoa71DAN0bYNNdXtayUP7s9zm3SjEJcrKSAPqWx4jx2PVoZ&#10;V35ER7eTD1YmkkFzFeSZwq3hRZaV3MrB0YdejrjrsftqJyvAvIT5Q+/0Nk7P+7L9fDsVr4dZiNub&#10;ZfsILOGS/mH4rU/VoaFORz85FZkhnd3nhAooixIYAet1Tsbxz+BNzS8XND8AAAD//wMAUEsBAi0A&#10;FAAGAAgAAAAhALaDOJL+AAAA4QEAABMAAAAAAAAAAAAAAAAAAAAAAFtDb250ZW50X1R5cGVzXS54&#10;bWxQSwECLQAUAAYACAAAACEAOP0h/9YAAACUAQAACwAAAAAAAAAAAAAAAAAvAQAAX3JlbHMvLnJl&#10;bHNQSwECLQAUAAYACAAAACEA4WgX2rYBAAC3AwAADgAAAAAAAAAAAAAAAAAuAgAAZHJzL2Uyb0Rv&#10;Yy54bWxQSwECLQAUAAYACAAAACEA+z9Jt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94904" w:rsidRPr="00034C7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CỘNG HÒA XÃ HỘI CHỦ NGHĨA VIỆT NAM</w:t>
            </w:r>
            <w:r w:rsidR="00194904" w:rsidRPr="00034C7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br/>
            </w:r>
            <w:r w:rsidR="00194904" w:rsidRPr="00034C7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Độc lập - Tự do - Hạnh phúc</w:t>
            </w:r>
            <w:r w:rsidR="00194904" w:rsidRPr="00034C7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="00194904" w:rsidRPr="00034C7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br/>
            </w:r>
          </w:p>
        </w:tc>
      </w:tr>
      <w:tr w:rsidR="00094402" w:rsidRPr="00034C71" w14:paraId="6058CA58" w14:textId="77777777" w:rsidTr="00EF4BB5">
        <w:tc>
          <w:tcPr>
            <w:tcW w:w="4679" w:type="dxa"/>
          </w:tcPr>
          <w:p w14:paraId="63CC8183" w14:textId="27CE8C16" w:rsidR="00194904" w:rsidRPr="00034C71" w:rsidRDefault="00194904" w:rsidP="000A57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Số: </w:t>
            </w:r>
            <w:r w:rsidR="000A575B" w:rsidRPr="00034C7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  </w:t>
            </w:r>
            <w:r w:rsidR="00EB614B" w:rsidRPr="00034C7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</w:t>
            </w:r>
            <w:r w:rsidR="000A575B" w:rsidRPr="00034C7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  </w:t>
            </w:r>
            <w:r w:rsidRPr="00034C7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/20</w:t>
            </w:r>
            <w:r w:rsidR="000A575B" w:rsidRPr="00034C7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26</w:t>
            </w:r>
            <w:r w:rsidRPr="00034C7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034C7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NQ-HĐND</w:t>
            </w:r>
          </w:p>
        </w:tc>
        <w:tc>
          <w:tcPr>
            <w:tcW w:w="5528" w:type="dxa"/>
          </w:tcPr>
          <w:p w14:paraId="3791683D" w14:textId="5B4D26E6" w:rsidR="00194904" w:rsidRPr="00034C71" w:rsidRDefault="000A575B" w:rsidP="000A575B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 xml:space="preserve">         Tuyên Quang</w:t>
            </w:r>
            <w:r w:rsidR="00194904" w:rsidRPr="00034C71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 xml:space="preserve">, ngày </w:t>
            </w:r>
            <w:r w:rsidR="009A7624" w:rsidRPr="00034C71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 xml:space="preserve">   </w:t>
            </w:r>
            <w:r w:rsidR="00194904" w:rsidRPr="00034C71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 xml:space="preserve"> tháng </w:t>
            </w:r>
            <w:r w:rsidR="00E35BFE" w:rsidRPr="00034C71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 xml:space="preserve">  </w:t>
            </w:r>
            <w:r w:rsidR="00194904" w:rsidRPr="00034C71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 xml:space="preserve"> năm </w:t>
            </w:r>
            <w:r w:rsidRPr="00034C71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2026</w:t>
            </w:r>
          </w:p>
        </w:tc>
      </w:tr>
    </w:tbl>
    <w:p w14:paraId="4957782C" w14:textId="093D1AF8" w:rsidR="00194904" w:rsidRPr="00034C71" w:rsidRDefault="009B4284" w:rsidP="00194904">
      <w:pPr>
        <w:spacing w:before="120"/>
        <w:rPr>
          <w:rFonts w:ascii="Times New Roman" w:hAnsi="Times New Roman" w:cs="Times New Roman"/>
          <w:b/>
          <w:bCs/>
          <w:color w:val="auto"/>
          <w:sz w:val="20"/>
          <w:lang w:val="en-US"/>
        </w:rPr>
      </w:pPr>
      <w:r w:rsidRPr="00034C71">
        <w:rPr>
          <w:rFonts w:ascii="Times New Roman" w:hAnsi="Times New Roman" w:cs="Times New Roman"/>
          <w:b/>
          <w:bCs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04ADA" wp14:editId="7CECE9B4">
                <wp:simplePos x="0" y="0"/>
                <wp:positionH relativeFrom="column">
                  <wp:posOffset>533863</wp:posOffset>
                </wp:positionH>
                <wp:positionV relativeFrom="paragraph">
                  <wp:posOffset>78105</wp:posOffset>
                </wp:positionV>
                <wp:extent cx="897925" cy="271849"/>
                <wp:effectExtent l="0" t="0" r="16510" b="13970"/>
                <wp:wrapNone/>
                <wp:docPr id="17125809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925" cy="271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402A6" w14:textId="69E2822E" w:rsidR="009B4284" w:rsidRPr="00E63950" w:rsidRDefault="009B4284" w:rsidP="00E63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E6395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04A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05pt;margin-top:6.15pt;width:70.7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GUNwIAAHsEAAAOAAAAZHJzL2Uyb0RvYy54bWysVE2P2jAQvVfqf7B8LwEKC0SEFWVFVQnt&#10;rsRWezaOTaI6Htc2JPTXd+yEj932VPXijD3j55k3bzK/bypFjsK6EnRGB70+JUJzyEu9z+j3l/Wn&#10;KSXOM50zBVpk9CQcvV98/DCvTSqGUIDKhSUIol1am4wW3ps0SRwvRMVcD4zQ6JRgK+Zxa/dJblmN&#10;6JVKhv3+XVKDzY0FLpzD04fWSRcRX0rB/ZOUTniiMoq5+bjauO7CmizmLN1bZoqSd2mwf8iiYqXG&#10;Ry9QD8wzcrDlH1BVyS04kL7HoUpAypKLWANWM+i/q2ZbMCNiLUiOMxea3P+D5Y/HrXm2xDdfoMEG&#10;BkJq41KHh6GeRtoqfDFTgn6k8HShTTSecDycziaz4ZgSjq7hZDAdzQJKcr1srPNfBVQkGBm12JVI&#10;FjtunG9DzyHhLQeqzNelUnETlCBWypIjwx4qH1NE8DdRSpM6o3efx/0I/MYXoC/3d4rxH116N1GI&#10;pzTmfC09WL7ZNR0fO8hPSJOFVkHO8HWJuBvm/DOzKBlkBsfAP+EiFWAy0FmUFGB//e08xGMn0UtJ&#10;jRLMqPt5YFZQor5p7PFsMBoFzcbNaDwZ4sbeena3Hn2oVoAMDXDgDI9miPfqbEoL1StOyzK8ii6m&#10;Ob6dUX82V74dDJw2LpbLGIQqNcxv9NbwAB06Evh8aV6ZNV0/PQrhEc5iZem7trax4aaG5cGDLGPP&#10;A8Etqx3vqPComm4awwjd7mPU9Z+x+A0AAP//AwBQSwMEFAAGAAgAAAAhAL3vY0ncAAAACAEAAA8A&#10;AABkcnMvZG93bnJldi54bWxMj8FOwzAQRO9I/IO1SNyok0BQGuJUgAoXThTU8zbe2haxHdluGv4e&#10;c4Lj7Ixm3nabxY5sphCNdwLKVQGM3OClcUrA58fLTQMsJnQSR+9IwDdF2PSXFx220p/dO827pFgu&#10;cbFFATqlqeU8DposxpWfyGXv6IPFlGVQXAY853I78qoo7rlF4/KCxomeNQ1fu5MVsH1SazU0GPS2&#10;kcbMy/74pl6FuL5aHh+AJVrSXxh+8TM69Jnp4E9ORjYKaO7KnMz36hZY9quqroEdBNR1Cbzv+P8H&#10;+h8AAAD//wMAUEsBAi0AFAAGAAgAAAAhALaDOJL+AAAA4QEAABMAAAAAAAAAAAAAAAAAAAAAAFtD&#10;b250ZW50X1R5cGVzXS54bWxQSwECLQAUAAYACAAAACEAOP0h/9YAAACUAQAACwAAAAAAAAAAAAAA&#10;AAAvAQAAX3JlbHMvLnJlbHNQSwECLQAUAAYACAAAACEAA3GBlDcCAAB7BAAADgAAAAAAAAAAAAAA&#10;AAAuAgAAZHJzL2Uyb0RvYy54bWxQSwECLQAUAAYACAAAACEAve9jSdwAAAAIAQAADwAAAAAAAAAA&#10;AAAAAACRBAAAZHJzL2Rvd25yZXYueG1sUEsFBgAAAAAEAAQA8wAAAJoFAAAAAA==&#10;" fillcolor="white [3201]" strokeweight=".5pt">
                <v:textbox>
                  <w:txbxContent>
                    <w:p w14:paraId="068402A6" w14:textId="69E2822E" w:rsidR="009B4284" w:rsidRPr="00E63950" w:rsidRDefault="009B4284" w:rsidP="00E63950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E63950">
                        <w:rPr>
                          <w:rFonts w:ascii="Times New Roman" w:hAnsi="Times New Roman" w:cs="Times New Roman"/>
                          <w:lang w:val="en-US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3E3455D" w14:textId="77777777" w:rsidR="00194904" w:rsidRPr="00034C71" w:rsidRDefault="00194904" w:rsidP="00125831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/>
          <w:bCs/>
          <w:color w:val="auto"/>
          <w:sz w:val="28"/>
          <w:szCs w:val="28"/>
        </w:rPr>
        <w:t>NGHỊ QUYẾT</w:t>
      </w:r>
    </w:p>
    <w:p w14:paraId="34CE9EEB" w14:textId="3AEBB4F3" w:rsidR="003A6716" w:rsidRPr="00034C71" w:rsidRDefault="003A6716" w:rsidP="00125831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>Quy định về người hoạt động không chuyên trách, người tham gia</w:t>
      </w:r>
      <w:r w:rsidR="003E3FA6" w:rsidRPr="00034C7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 xml:space="preserve"> </w:t>
      </w:r>
      <w:r w:rsidRPr="00034C7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en-US"/>
        </w:rPr>
        <w:t>hoạt động</w:t>
      </w:r>
      <w:r w:rsidRPr="00034C7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và mức khoán kinh phí hoạt động ở thôn, tổ dân phố</w:t>
      </w:r>
    </w:p>
    <w:p w14:paraId="23469BA0" w14:textId="3252FD5D" w:rsidR="003A6716" w:rsidRPr="00034C71" w:rsidRDefault="003A6716" w:rsidP="00125831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trên địa bàn tỉnh Tuyên Quang</w:t>
      </w:r>
    </w:p>
    <w:p w14:paraId="306FE55A" w14:textId="00597682" w:rsidR="0031792E" w:rsidRPr="00034C71" w:rsidRDefault="0031792E" w:rsidP="00D21A57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</w:p>
    <w:p w14:paraId="2BAE29A0" w14:textId="12C1D0B2" w:rsidR="00D21A57" w:rsidRPr="00034C71" w:rsidRDefault="00D21A57" w:rsidP="00D21A57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Căn cứ Luật Tổ chức chính quyền địa phương số 72/2025/QH15;</w:t>
      </w:r>
    </w:p>
    <w:p w14:paraId="626C957E" w14:textId="62D54DBA" w:rsidR="00D21A57" w:rsidRPr="00034C71" w:rsidRDefault="00D21A57" w:rsidP="00D21A57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Căn cứ Luật Ban hành văn bản quy phạm pháp luật số 64/2025/QH15 đã được sửa đổi, bổ sung bởi Luật số 87/2025/QH15;</w:t>
      </w:r>
    </w:p>
    <w:p w14:paraId="67D3E3C2" w14:textId="281CEE43" w:rsidR="00D21A57" w:rsidRPr="00034C71" w:rsidRDefault="00D21A57" w:rsidP="00D21A57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Căn cứ Nghị định số </w:t>
      </w:r>
      <w:r w:rsidR="00BB77CD"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185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/2026/NĐ-CP của Chính phủ quy định về tổ chức</w:t>
      </w:r>
      <w:r w:rsidR="00BB77CD"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,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hoạt động của thôn, tổ dân phố và chế độ, chính sách đối với người hoạt động không chuyên trách ở thôn, tổ dân phố;</w:t>
      </w:r>
    </w:p>
    <w:p w14:paraId="37243FE6" w14:textId="77777777" w:rsidR="003F06E0" w:rsidRPr="00034C71" w:rsidRDefault="00747F25" w:rsidP="003F06E0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color w:val="auto"/>
          <w:spacing w:val="-4"/>
          <w:sz w:val="28"/>
          <w:szCs w:val="28"/>
        </w:rPr>
      </w:pPr>
      <w:r w:rsidRPr="00034C71">
        <w:rPr>
          <w:rFonts w:ascii="Times New Roman" w:hAnsi="Times New Roman" w:cs="Times New Roman"/>
          <w:i/>
          <w:color w:val="auto"/>
          <w:spacing w:val="-6"/>
          <w:sz w:val="28"/>
          <w:szCs w:val="28"/>
          <w:lang w:eastAsia="en-US"/>
        </w:rPr>
        <w:t xml:space="preserve">Xét Tờ trình số …/TTr-UBND ngày … tháng </w:t>
      </w:r>
      <w:r w:rsidR="007453F9" w:rsidRPr="00034C71">
        <w:rPr>
          <w:rFonts w:ascii="Times New Roman" w:hAnsi="Times New Roman" w:cs="Times New Roman"/>
          <w:i/>
          <w:color w:val="auto"/>
          <w:spacing w:val="-6"/>
          <w:sz w:val="28"/>
          <w:szCs w:val="28"/>
          <w:lang w:val="en-US" w:eastAsia="en-US"/>
        </w:rPr>
        <w:t>6</w:t>
      </w:r>
      <w:r w:rsidRPr="00034C71">
        <w:rPr>
          <w:rFonts w:ascii="Times New Roman" w:hAnsi="Times New Roman" w:cs="Times New Roman"/>
          <w:i/>
          <w:color w:val="auto"/>
          <w:spacing w:val="-6"/>
          <w:sz w:val="28"/>
          <w:szCs w:val="28"/>
          <w:lang w:eastAsia="en-US"/>
        </w:rPr>
        <w:t xml:space="preserve"> năm 2026 của Ủy ban nhân dân</w:t>
      </w:r>
      <w:r w:rsidRPr="00034C71">
        <w:rPr>
          <w:rFonts w:ascii="Times New Roman" w:hAnsi="Times New Roman" w:cs="Times New Roman"/>
          <w:i/>
          <w:color w:val="auto"/>
          <w:spacing w:val="-4"/>
          <w:sz w:val="28"/>
          <w:szCs w:val="28"/>
          <w:lang w:eastAsia="en-US"/>
        </w:rPr>
        <w:t xml:space="preserve"> </w:t>
      </w:r>
      <w:r w:rsidRPr="00034C71">
        <w:rPr>
          <w:rFonts w:ascii="Times New Roman" w:hAnsi="Times New Roman" w:cs="Times New Roman"/>
          <w:i/>
          <w:color w:val="auto"/>
          <w:spacing w:val="-8"/>
          <w:sz w:val="28"/>
          <w:szCs w:val="28"/>
          <w:lang w:eastAsia="en-US"/>
        </w:rPr>
        <w:t>tỉnh;</w:t>
      </w:r>
      <w:r w:rsidRPr="00034C71">
        <w:rPr>
          <w:rFonts w:ascii="Times New Roman" w:hAnsi="Times New Roman" w:cs="Times New Roman"/>
          <w:i/>
          <w:color w:val="auto"/>
          <w:spacing w:val="-8"/>
          <w:sz w:val="28"/>
          <w:szCs w:val="28"/>
          <w:lang w:val="en-US" w:eastAsia="en-US"/>
        </w:rPr>
        <w:t xml:space="preserve"> </w:t>
      </w:r>
      <w:r w:rsidRPr="00034C71">
        <w:rPr>
          <w:rFonts w:ascii="Times New Roman" w:hAnsi="Times New Roman" w:cs="Times New Roman"/>
          <w:i/>
          <w:color w:val="auto"/>
          <w:spacing w:val="-8"/>
          <w:sz w:val="28"/>
          <w:szCs w:val="28"/>
          <w:lang w:eastAsia="en-US"/>
        </w:rPr>
        <w:t xml:space="preserve">Báo cáo thẩm tra số …/BC-HĐND ngày … tháng </w:t>
      </w:r>
      <w:r w:rsidR="007E498C" w:rsidRPr="00034C71">
        <w:rPr>
          <w:rFonts w:ascii="Times New Roman" w:hAnsi="Times New Roman" w:cs="Times New Roman"/>
          <w:i/>
          <w:color w:val="auto"/>
          <w:spacing w:val="-8"/>
          <w:sz w:val="28"/>
          <w:szCs w:val="28"/>
          <w:lang w:val="en-US" w:eastAsia="en-US"/>
        </w:rPr>
        <w:t>6</w:t>
      </w:r>
      <w:r w:rsidRPr="00034C71">
        <w:rPr>
          <w:rFonts w:ascii="Times New Roman" w:hAnsi="Times New Roman" w:cs="Times New Roman"/>
          <w:i/>
          <w:color w:val="auto"/>
          <w:spacing w:val="-8"/>
          <w:sz w:val="28"/>
          <w:szCs w:val="28"/>
          <w:lang w:eastAsia="en-US"/>
        </w:rPr>
        <w:t xml:space="preserve"> năm 2026 của Ban Pháp chế</w:t>
      </w:r>
      <w:r w:rsidRPr="00034C71">
        <w:rPr>
          <w:rFonts w:ascii="Times New Roman" w:hAnsi="Times New Roman" w:cs="Times New Roman"/>
          <w:i/>
          <w:color w:val="auto"/>
          <w:spacing w:val="-4"/>
          <w:sz w:val="28"/>
          <w:szCs w:val="28"/>
          <w:lang w:eastAsia="en-US"/>
        </w:rPr>
        <w:t xml:space="preserve"> Hội đồng nhân dân tỉnh</w:t>
      </w:r>
      <w:r w:rsidR="00194904" w:rsidRPr="00034C71">
        <w:rPr>
          <w:rFonts w:ascii="Times New Roman" w:hAnsi="Times New Roman" w:cs="Times New Roman"/>
          <w:bCs/>
          <w:i/>
          <w:color w:val="auto"/>
          <w:spacing w:val="-4"/>
          <w:sz w:val="28"/>
          <w:szCs w:val="28"/>
        </w:rPr>
        <w:t xml:space="preserve">; </w:t>
      </w:r>
      <w:r w:rsidR="00194904" w:rsidRPr="00034C71">
        <w:rPr>
          <w:rFonts w:ascii="Times New Roman" w:hAnsi="Times New Roman" w:cs="Times New Roman"/>
          <w:i/>
          <w:iCs/>
          <w:color w:val="auto"/>
          <w:spacing w:val="-4"/>
          <w:sz w:val="28"/>
          <w:szCs w:val="28"/>
        </w:rPr>
        <w:t>ý kiến</w:t>
      </w:r>
      <w:r w:rsidR="00194904" w:rsidRPr="00034C71">
        <w:rPr>
          <w:rFonts w:ascii="Times New Roman" w:hAnsi="Times New Roman" w:cs="Times New Roman"/>
          <w:i/>
          <w:iCs/>
          <w:color w:val="auto"/>
          <w:spacing w:val="-4"/>
          <w:sz w:val="28"/>
          <w:szCs w:val="28"/>
          <w:lang w:val="en-US"/>
        </w:rPr>
        <w:t xml:space="preserve"> </w:t>
      </w:r>
      <w:r w:rsidR="00194904" w:rsidRPr="00034C71">
        <w:rPr>
          <w:rFonts w:ascii="Times New Roman" w:hAnsi="Times New Roman" w:cs="Times New Roman"/>
          <w:i/>
          <w:iCs/>
          <w:color w:val="auto"/>
          <w:spacing w:val="-4"/>
          <w:sz w:val="28"/>
          <w:szCs w:val="28"/>
        </w:rPr>
        <w:t>thảo luận của đại biểu Hội đồng nhân dân tại kỳ họp;</w:t>
      </w:r>
    </w:p>
    <w:p w14:paraId="393F699C" w14:textId="1822AD94" w:rsidR="003F06E0" w:rsidRPr="00034C71" w:rsidRDefault="00194904" w:rsidP="00013D17">
      <w:pPr>
        <w:spacing w:before="120" w:after="120"/>
        <w:ind w:firstLine="720"/>
        <w:jc w:val="both"/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</w:pPr>
      <w:r w:rsidRPr="00034C71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Hội đồng nhân dân ban hành Nghị quyết</w:t>
      </w:r>
      <w:r w:rsidR="000A575B" w:rsidRPr="00034C71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="00013D17" w:rsidRPr="00034C71">
        <w:rPr>
          <w:rFonts w:ascii="Times New Roman" w:hAnsi="Times New Roman" w:cs="Times New Roman"/>
          <w:i/>
          <w:color w:val="auto"/>
          <w:sz w:val="28"/>
          <w:szCs w:val="28"/>
          <w:lang w:val="en-US" w:eastAsia="en-US"/>
        </w:rPr>
        <w:t>q</w:t>
      </w:r>
      <w:r w:rsidR="00013D17" w:rsidRPr="00034C71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uy định về người hoạt động không chuyên trách, người tham gia hoạt động và mức khoán kinh phí hoạt động ở thôn, tổ dân phố</w:t>
      </w:r>
      <w:r w:rsidR="00013D17" w:rsidRPr="00034C71">
        <w:rPr>
          <w:rFonts w:ascii="Times New Roman" w:hAnsi="Times New Roman" w:cs="Times New Roman"/>
          <w:i/>
          <w:color w:val="auto"/>
          <w:sz w:val="28"/>
          <w:szCs w:val="28"/>
          <w:lang w:val="en-US" w:eastAsia="en-US"/>
        </w:rPr>
        <w:t xml:space="preserve"> </w:t>
      </w:r>
      <w:r w:rsidR="00013D17" w:rsidRPr="00034C71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trên địa bàn tỉnh Tuyên Quang</w:t>
      </w:r>
      <w:r w:rsidR="003F06E0" w:rsidRPr="00034C71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.</w:t>
      </w:r>
    </w:p>
    <w:p w14:paraId="73D342BE" w14:textId="77777777" w:rsidR="00A925F0" w:rsidRPr="00034C71" w:rsidRDefault="00A925F0" w:rsidP="00A925F0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34C71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 1. Phạm vi điều chỉnh</w:t>
      </w:r>
    </w:p>
    <w:p w14:paraId="4E9F5199" w14:textId="7D1AE9FF" w:rsidR="0031792E" w:rsidRPr="00034C71" w:rsidRDefault="0031792E" w:rsidP="0031792E">
      <w:pPr>
        <w:spacing w:before="120" w:after="120"/>
        <w:ind w:firstLine="720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Cs/>
          <w:iCs/>
          <w:color w:val="auto"/>
          <w:sz w:val="28"/>
          <w:szCs w:val="28"/>
          <w:lang w:val="en-US"/>
        </w:rPr>
        <w:t>Nghị quyết này quy định mức phụ cấp người hoạt động không chuyên trách; số lượng</w:t>
      </w:r>
      <w:r w:rsidRPr="00034C71">
        <w:rPr>
          <w:rFonts w:ascii="Times New Roman" w:hAnsi="Times New Roman" w:cs="Times New Roman"/>
          <w:bCs/>
          <w:iCs/>
          <w:color w:val="auto"/>
          <w:sz w:val="28"/>
          <w:szCs w:val="28"/>
        </w:rPr>
        <w:t>,</w:t>
      </w:r>
      <w:r w:rsidRPr="00034C71">
        <w:rPr>
          <w:rFonts w:ascii="Times New Roman" w:hAnsi="Times New Roman" w:cs="Times New Roman"/>
          <w:bCs/>
          <w:iCs/>
          <w:color w:val="auto"/>
          <w:sz w:val="28"/>
          <w:szCs w:val="28"/>
          <w:lang w:val="en-US"/>
        </w:rPr>
        <w:t xml:space="preserve"> chức danh, mức hỗ trợ đối với người tham gia hoạt động ở thôn, tổ dân phố; việc kiêm nhiệm và mức phụ cấp, mức</w:t>
      </w:r>
      <w:r w:rsidRPr="00034C71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034C71">
        <w:rPr>
          <w:rFonts w:ascii="Times New Roman" w:hAnsi="Times New Roman" w:cs="Times New Roman"/>
          <w:bCs/>
          <w:iCs/>
          <w:color w:val="auto"/>
          <w:sz w:val="28"/>
          <w:szCs w:val="28"/>
          <w:lang w:val="en-US"/>
        </w:rPr>
        <w:t>hỗ trợ kiêm nhiệm; mức khoán kinh phí hoạt động ở thôn, tổ dân phố trên địa bàn tỉnh Tuyên Quang.</w:t>
      </w:r>
    </w:p>
    <w:p w14:paraId="47C968FD" w14:textId="26ABB599" w:rsidR="00A925F0" w:rsidRPr="00034C71" w:rsidRDefault="00A925F0" w:rsidP="00A925F0">
      <w:pPr>
        <w:spacing w:before="120" w:after="120"/>
        <w:ind w:firstLine="720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034C71">
        <w:rPr>
          <w:rFonts w:ascii="Times New Roman" w:hAnsi="Times New Roman" w:cs="Times New Roman"/>
          <w:b/>
          <w:iCs/>
          <w:color w:val="auto"/>
          <w:sz w:val="28"/>
          <w:szCs w:val="28"/>
        </w:rPr>
        <w:t>Điều 2. Đối tượng áp dụng</w:t>
      </w:r>
    </w:p>
    <w:p w14:paraId="0A422F7C" w14:textId="65CA5582" w:rsidR="00A22194" w:rsidRPr="00034C71" w:rsidRDefault="00A22194" w:rsidP="00A22194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1. Người hoạt động không chuyên trách ở thôn, tổ dân phố, gồm:</w:t>
      </w:r>
    </w:p>
    <w:p w14:paraId="155F3AC9" w14:textId="77777777" w:rsidR="00A22194" w:rsidRPr="00034C71" w:rsidRDefault="00A22194" w:rsidP="00A22194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a) Bí thư chi bộ thôn, tổ dân phố;</w:t>
      </w:r>
    </w:p>
    <w:p w14:paraId="33508CB4" w14:textId="77777777" w:rsidR="00A22194" w:rsidRPr="00034C71" w:rsidRDefault="00A22194" w:rsidP="00A22194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b) Trưởng thôn hoặc Tổ trưởng tổ dân phố;</w:t>
      </w:r>
    </w:p>
    <w:p w14:paraId="3497D962" w14:textId="77777777" w:rsidR="00A22194" w:rsidRPr="00034C71" w:rsidRDefault="00A22194" w:rsidP="00A22194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c) Trưởng Ban công tác Mặt trận ở thôn, tổ dân phố.</w:t>
      </w:r>
    </w:p>
    <w:p w14:paraId="64D028D8" w14:textId="313F5D80" w:rsidR="00A22194" w:rsidRPr="00034C71" w:rsidRDefault="00A22194" w:rsidP="006D78CB">
      <w:pPr>
        <w:spacing w:before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2. Các chức danh </w:t>
      </w:r>
      <w:r w:rsidR="0087398D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tham gia hoạt động 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ở thôn, tổ dân phố</w:t>
      </w:r>
      <w:r w:rsidR="00FD3861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, gồm</w:t>
      </w:r>
      <w:r w:rsidR="008D2A23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: Phó Trưởng thôn hoặc Phó Tổ trưởng tổ dân phố; Nhân viên khuyến nông, khuyến lâm, thú y, môi trường (bố trí ở thôn); Chi hội trưởng Chi hội Cựu chiến binh; Chi hội trưởng Chi hội Phụ nữ; Chi hội trưởng Chi hội Người cao tuổi; Chi hội trưởng Chi hội Nông dân; Bí thư chi đoàn thanh niên Cộng sản Hồ Chí Minh.</w:t>
      </w:r>
    </w:p>
    <w:p w14:paraId="2A29D0EF" w14:textId="6CDEBA79" w:rsidR="00A925F0" w:rsidRPr="00034C71" w:rsidRDefault="00A22194" w:rsidP="006D78CB">
      <w:pPr>
        <w:spacing w:before="120"/>
        <w:ind w:firstLine="720"/>
        <w:jc w:val="both"/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3. Cơ quan, tổ chức, cá nhân có liên quan đến việc quản lý, bố trí, sử dụng, </w:t>
      </w:r>
      <w:r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>chi trả phụ cấp, hỗ trợ đối với các đối tượng quy định tại khoản 1 và khoản 2 Điều này.</w:t>
      </w:r>
    </w:p>
    <w:p w14:paraId="31F5212A" w14:textId="012C1235" w:rsidR="008B3CA0" w:rsidRPr="00034C71" w:rsidRDefault="008B3CA0" w:rsidP="006D78CB">
      <w:pPr>
        <w:spacing w:before="120"/>
        <w:ind w:firstLine="720"/>
        <w:jc w:val="both"/>
        <w:rPr>
          <w:rFonts w:ascii="Times New Roman" w:hAnsi="Times New Roman" w:cs="Times New Roman"/>
          <w:b/>
          <w:bCs/>
          <w:iCs/>
          <w:color w:val="auto"/>
          <w:spacing w:val="4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/>
          <w:bCs/>
          <w:iCs/>
          <w:color w:val="auto"/>
          <w:spacing w:val="4"/>
          <w:sz w:val="28"/>
          <w:szCs w:val="28"/>
          <w:lang w:val="en-US"/>
        </w:rPr>
        <w:lastRenderedPageBreak/>
        <w:t xml:space="preserve">Điều </w:t>
      </w:r>
      <w:r w:rsidR="001E6B97" w:rsidRPr="00034C71">
        <w:rPr>
          <w:rFonts w:ascii="Times New Roman" w:hAnsi="Times New Roman" w:cs="Times New Roman"/>
          <w:b/>
          <w:bCs/>
          <w:iCs/>
          <w:color w:val="auto"/>
          <w:spacing w:val="4"/>
          <w:sz w:val="28"/>
          <w:szCs w:val="28"/>
          <w:lang w:val="en-US"/>
        </w:rPr>
        <w:t>3</w:t>
      </w:r>
      <w:r w:rsidRPr="00034C71">
        <w:rPr>
          <w:rFonts w:ascii="Times New Roman" w:hAnsi="Times New Roman" w:cs="Times New Roman"/>
          <w:b/>
          <w:bCs/>
          <w:iCs/>
          <w:color w:val="auto"/>
          <w:spacing w:val="4"/>
          <w:sz w:val="28"/>
          <w:szCs w:val="28"/>
          <w:lang w:val="en-US"/>
        </w:rPr>
        <w:t>. Mức phụ cấp hằng tháng đối với người hoạt động không chuyên trách ở thôn, tổ dân phố</w:t>
      </w:r>
    </w:p>
    <w:p w14:paraId="24061CDB" w14:textId="1746F08C" w:rsidR="008B3CA0" w:rsidRPr="00034C71" w:rsidRDefault="007C6D5B" w:rsidP="00864476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 xml:space="preserve">1. </w:t>
      </w:r>
      <w:r w:rsidR="008B3CA0"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 xml:space="preserve">Đối với </w:t>
      </w:r>
      <w:r w:rsidR="00E90BD2"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>thôn có từ 700 hộ gia đình trở lên; tổ dân phố có từ 1.000 hộ gia đình</w:t>
      </w:r>
      <w:r w:rsidR="00E90BD2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trở lên; thôn, tổ dân phố thuộc đơn vị hành chính cấp xã trọng điểm về quốc phòng; thôn, tổ dân phố thuộc đơn vị hành chính cấp xã ở khu vực biên giới</w:t>
      </w:r>
      <w:r w:rsidR="00836586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;</w:t>
      </w:r>
      <w:r w:rsidR="00E90BD2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thôn</w:t>
      </w:r>
      <w:r w:rsidR="00836586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, tổ dân phố</w:t>
      </w:r>
      <w:r w:rsidR="00E90BD2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đặc biệt khó khăn</w:t>
      </w:r>
      <w:r w:rsidR="008B3C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, mức phụ cấp hằng tháng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"/>
        <w:gridCol w:w="4859"/>
        <w:gridCol w:w="3619"/>
      </w:tblGrid>
      <w:tr w:rsidR="00094402" w:rsidRPr="00034C71" w14:paraId="04178312" w14:textId="1F37BBCB" w:rsidTr="00B82F26">
        <w:trPr>
          <w:trHeight w:val="797"/>
        </w:trPr>
        <w:tc>
          <w:tcPr>
            <w:tcW w:w="322" w:type="pct"/>
            <w:vAlign w:val="center"/>
          </w:tcPr>
          <w:p w14:paraId="61D3C34E" w14:textId="1245A009" w:rsidR="00864476" w:rsidRPr="00034C71" w:rsidRDefault="00864476" w:rsidP="000118F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TT</w:t>
            </w:r>
          </w:p>
        </w:tc>
        <w:tc>
          <w:tcPr>
            <w:tcW w:w="2680" w:type="pct"/>
            <w:vAlign w:val="center"/>
          </w:tcPr>
          <w:p w14:paraId="13F864B3" w14:textId="1156FF0D" w:rsidR="00864476" w:rsidRPr="00034C71" w:rsidRDefault="00864476" w:rsidP="000118F2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Chức danh</w:t>
            </w:r>
          </w:p>
        </w:tc>
        <w:tc>
          <w:tcPr>
            <w:tcW w:w="1997" w:type="pct"/>
            <w:vAlign w:val="center"/>
          </w:tcPr>
          <w:p w14:paraId="081E91BE" w14:textId="77777777" w:rsidR="00864476" w:rsidRPr="00034C71" w:rsidRDefault="00864476" w:rsidP="000118F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Mức phụ cấp hằng tháng</w:t>
            </w:r>
          </w:p>
          <w:p w14:paraId="7337EA46" w14:textId="332E38CB" w:rsidR="00864476" w:rsidRPr="00034C71" w:rsidRDefault="00864476" w:rsidP="000118F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034C71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(Hệ số so với mức lương cơ sở)</w:t>
            </w:r>
          </w:p>
        </w:tc>
      </w:tr>
      <w:tr w:rsidR="00094402" w:rsidRPr="00034C71" w14:paraId="5F395CE6" w14:textId="0F7A97BE" w:rsidTr="00B82F26">
        <w:trPr>
          <w:trHeight w:val="313"/>
        </w:trPr>
        <w:tc>
          <w:tcPr>
            <w:tcW w:w="322" w:type="pct"/>
          </w:tcPr>
          <w:p w14:paraId="150C0303" w14:textId="6C9CF67B" w:rsidR="00864476" w:rsidRPr="00034C71" w:rsidRDefault="00864476" w:rsidP="0045662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680" w:type="pct"/>
            <w:vAlign w:val="center"/>
          </w:tcPr>
          <w:p w14:paraId="08DC49C8" w14:textId="6AF5AB03" w:rsidR="00864476" w:rsidRPr="00034C71" w:rsidRDefault="00864476" w:rsidP="00593D05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 xml:space="preserve">Bí thư chi bộ </w:t>
            </w:r>
          </w:p>
        </w:tc>
        <w:tc>
          <w:tcPr>
            <w:tcW w:w="1997" w:type="pct"/>
            <w:vAlign w:val="center"/>
          </w:tcPr>
          <w:p w14:paraId="06074045" w14:textId="021DEDBD" w:rsidR="00864476" w:rsidRPr="00034C71" w:rsidRDefault="00864476" w:rsidP="00593D0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1,</w:t>
            </w:r>
            <w:r w:rsidR="009F4ABF"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8</w:t>
            </w:r>
          </w:p>
        </w:tc>
      </w:tr>
      <w:tr w:rsidR="00094402" w:rsidRPr="00034C71" w14:paraId="61E63495" w14:textId="6689947B" w:rsidTr="00B82F26">
        <w:trPr>
          <w:trHeight w:val="400"/>
        </w:trPr>
        <w:tc>
          <w:tcPr>
            <w:tcW w:w="322" w:type="pct"/>
          </w:tcPr>
          <w:p w14:paraId="36ADC87C" w14:textId="39EE541E" w:rsidR="00864476" w:rsidRPr="00034C71" w:rsidRDefault="00864476" w:rsidP="0045662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680" w:type="pct"/>
            <w:vAlign w:val="center"/>
          </w:tcPr>
          <w:p w14:paraId="43F10A39" w14:textId="6DAE8B06" w:rsidR="00864476" w:rsidRPr="00034C71" w:rsidRDefault="00864476" w:rsidP="00593D05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Trưởng thôn hoặc Tổ trưởng tổ dân phố</w:t>
            </w:r>
          </w:p>
        </w:tc>
        <w:tc>
          <w:tcPr>
            <w:tcW w:w="1997" w:type="pct"/>
            <w:vAlign w:val="center"/>
          </w:tcPr>
          <w:p w14:paraId="112209FF" w14:textId="23BFDA1E" w:rsidR="00864476" w:rsidRPr="00034C71" w:rsidRDefault="00864476" w:rsidP="00593D0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1,</w:t>
            </w:r>
            <w:r w:rsidR="009F4ABF"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8</w:t>
            </w:r>
          </w:p>
        </w:tc>
      </w:tr>
      <w:tr w:rsidR="00094402" w:rsidRPr="00034C71" w14:paraId="3832DA50" w14:textId="1EA4923F" w:rsidTr="00B82F26">
        <w:trPr>
          <w:trHeight w:val="418"/>
        </w:trPr>
        <w:tc>
          <w:tcPr>
            <w:tcW w:w="322" w:type="pct"/>
          </w:tcPr>
          <w:p w14:paraId="577C13C4" w14:textId="2F70E402" w:rsidR="00864476" w:rsidRPr="00034C71" w:rsidRDefault="00864476" w:rsidP="0045662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680" w:type="pct"/>
            <w:vAlign w:val="center"/>
          </w:tcPr>
          <w:p w14:paraId="4E0F25A9" w14:textId="5C18459C" w:rsidR="00864476" w:rsidRPr="00034C71" w:rsidRDefault="00864476" w:rsidP="00593D05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 xml:space="preserve">Trưởng Ban công tác Mặt trận </w:t>
            </w:r>
          </w:p>
        </w:tc>
        <w:tc>
          <w:tcPr>
            <w:tcW w:w="1997" w:type="pct"/>
            <w:vAlign w:val="center"/>
          </w:tcPr>
          <w:p w14:paraId="3624ADF8" w14:textId="5A5A5D09" w:rsidR="00864476" w:rsidRPr="00034C71" w:rsidRDefault="00864476" w:rsidP="00593D0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1,</w:t>
            </w:r>
            <w:r w:rsidR="009F4ABF"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</w:tr>
    </w:tbl>
    <w:p w14:paraId="72215670" w14:textId="2F81A366" w:rsidR="008B3CA0" w:rsidRPr="00034C71" w:rsidRDefault="007C6D5B" w:rsidP="008B3CA0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2. </w:t>
      </w:r>
      <w:r w:rsidR="008B3C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Đối với thôn, tổ dân phố không thuộc khoản 1 Điều này, mức phụ cấp hằng tháng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4819"/>
        <w:gridCol w:w="3679"/>
      </w:tblGrid>
      <w:tr w:rsidR="00094402" w:rsidRPr="00034C71" w14:paraId="27449BAD" w14:textId="77777777" w:rsidTr="00B82F26">
        <w:trPr>
          <w:trHeight w:val="797"/>
        </w:trPr>
        <w:tc>
          <w:tcPr>
            <w:tcW w:w="311" w:type="pct"/>
            <w:vAlign w:val="center"/>
          </w:tcPr>
          <w:p w14:paraId="20CA3A87" w14:textId="77777777" w:rsidR="00EA0BA8" w:rsidRPr="00034C71" w:rsidRDefault="00EA0BA8" w:rsidP="00DF1AD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TT</w:t>
            </w:r>
          </w:p>
        </w:tc>
        <w:tc>
          <w:tcPr>
            <w:tcW w:w="2659" w:type="pct"/>
            <w:vAlign w:val="center"/>
          </w:tcPr>
          <w:p w14:paraId="0934028C" w14:textId="77777777" w:rsidR="00EA0BA8" w:rsidRPr="00034C71" w:rsidRDefault="00EA0BA8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Chức danh</w:t>
            </w:r>
          </w:p>
        </w:tc>
        <w:tc>
          <w:tcPr>
            <w:tcW w:w="2030" w:type="pct"/>
            <w:vAlign w:val="center"/>
          </w:tcPr>
          <w:p w14:paraId="2B525C7F" w14:textId="77777777" w:rsidR="00EA0BA8" w:rsidRPr="00034C71" w:rsidRDefault="00EA0BA8" w:rsidP="00DF1AD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Mức phụ cấp hằng tháng</w:t>
            </w:r>
          </w:p>
          <w:p w14:paraId="11B3515A" w14:textId="77777777" w:rsidR="00EA0BA8" w:rsidRPr="00034C71" w:rsidRDefault="00EA0BA8" w:rsidP="00DF1AD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034C71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(Hệ số so với mức lương cơ sở)</w:t>
            </w:r>
          </w:p>
        </w:tc>
      </w:tr>
      <w:tr w:rsidR="00094402" w:rsidRPr="00034C71" w14:paraId="2184803E" w14:textId="77777777" w:rsidTr="00B82F26">
        <w:trPr>
          <w:trHeight w:val="291"/>
        </w:trPr>
        <w:tc>
          <w:tcPr>
            <w:tcW w:w="311" w:type="pct"/>
          </w:tcPr>
          <w:p w14:paraId="0E14F53F" w14:textId="77777777" w:rsidR="00EA0BA8" w:rsidRPr="00034C71" w:rsidRDefault="00EA0BA8" w:rsidP="00DF1AD9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659" w:type="pct"/>
            <w:vAlign w:val="center"/>
          </w:tcPr>
          <w:p w14:paraId="55112A9B" w14:textId="77777777" w:rsidR="00EA0BA8" w:rsidRPr="00034C71" w:rsidRDefault="00EA0BA8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 xml:space="preserve">Bí thư chi bộ </w:t>
            </w:r>
          </w:p>
        </w:tc>
        <w:tc>
          <w:tcPr>
            <w:tcW w:w="2030" w:type="pct"/>
            <w:vAlign w:val="center"/>
          </w:tcPr>
          <w:p w14:paraId="0E9C6968" w14:textId="17DD1386" w:rsidR="00EA0BA8" w:rsidRPr="00034C71" w:rsidRDefault="00EA0BA8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1,</w:t>
            </w:r>
            <w:r w:rsidR="009F4ABF"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</w:tr>
      <w:tr w:rsidR="00094402" w:rsidRPr="00034C71" w14:paraId="15DBA903" w14:textId="77777777" w:rsidTr="00B82F26">
        <w:trPr>
          <w:trHeight w:val="400"/>
        </w:trPr>
        <w:tc>
          <w:tcPr>
            <w:tcW w:w="311" w:type="pct"/>
          </w:tcPr>
          <w:p w14:paraId="73388C9B" w14:textId="77777777" w:rsidR="00EA0BA8" w:rsidRPr="00034C71" w:rsidRDefault="00EA0BA8" w:rsidP="00DF1AD9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659" w:type="pct"/>
            <w:vAlign w:val="center"/>
          </w:tcPr>
          <w:p w14:paraId="5B771E74" w14:textId="77777777" w:rsidR="00EA0BA8" w:rsidRPr="00034C71" w:rsidRDefault="00EA0BA8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Trưởng thôn hoặc Tổ trưởng tổ dân phố</w:t>
            </w:r>
          </w:p>
        </w:tc>
        <w:tc>
          <w:tcPr>
            <w:tcW w:w="2030" w:type="pct"/>
            <w:vAlign w:val="center"/>
          </w:tcPr>
          <w:p w14:paraId="03D823A2" w14:textId="76EFA48D" w:rsidR="00EA0BA8" w:rsidRPr="00034C71" w:rsidRDefault="00EA0BA8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1,</w:t>
            </w:r>
            <w:r w:rsidR="009F4ABF"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</w:tr>
      <w:tr w:rsidR="00094402" w:rsidRPr="00034C71" w14:paraId="31CB7E52" w14:textId="77777777" w:rsidTr="00B82F26">
        <w:trPr>
          <w:trHeight w:val="418"/>
        </w:trPr>
        <w:tc>
          <w:tcPr>
            <w:tcW w:w="311" w:type="pct"/>
          </w:tcPr>
          <w:p w14:paraId="26EFA38B" w14:textId="77777777" w:rsidR="00EA0BA8" w:rsidRPr="00034C71" w:rsidRDefault="00EA0BA8" w:rsidP="00DF1AD9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659" w:type="pct"/>
            <w:vAlign w:val="center"/>
          </w:tcPr>
          <w:p w14:paraId="5261E1F6" w14:textId="77777777" w:rsidR="00EA0BA8" w:rsidRPr="00034C71" w:rsidRDefault="00EA0BA8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 xml:space="preserve">Trưởng Ban công tác Mặt trận </w:t>
            </w:r>
          </w:p>
        </w:tc>
        <w:tc>
          <w:tcPr>
            <w:tcW w:w="2030" w:type="pct"/>
            <w:vAlign w:val="center"/>
          </w:tcPr>
          <w:p w14:paraId="10268BBD" w14:textId="2EF02797" w:rsidR="00EA0BA8" w:rsidRPr="00034C71" w:rsidRDefault="00EA0BA8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1,</w:t>
            </w:r>
            <w:r w:rsidR="009F4ABF"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</w:tr>
    </w:tbl>
    <w:p w14:paraId="39EB69D9" w14:textId="5558375A" w:rsidR="0089366C" w:rsidRPr="00034C71" w:rsidRDefault="00C562E2" w:rsidP="00D47F66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>3</w:t>
      </w:r>
      <w:r w:rsidR="001A56B9"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>. Ngoài mức phụ cấp quy định tại khoản 1, khoản 2 Điều này, người hoạt động</w:t>
      </w:r>
      <w:r w:rsidR="001A56B9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không chuyên trách ở thôn, tổ dân phố </w:t>
      </w:r>
      <w:r w:rsidR="0089366C"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(không bao gồm người đang hưởng lương, hưởng lương hưu hoặc trợ cấp mất </w:t>
      </w:r>
      <w:r w:rsidR="0007664C" w:rsidRPr="00034C71">
        <w:rPr>
          <w:rFonts w:ascii="Times New Roman" w:hAnsi="Times New Roman" w:cs="Times New Roman"/>
          <w:iCs/>
          <w:color w:val="auto"/>
          <w:sz w:val="28"/>
          <w:szCs w:val="28"/>
        </w:rPr>
        <w:t>sức</w:t>
      </w:r>
      <w:r w:rsidR="0089366C"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lao động), hàng tháng được hưởng thêm hệ số phụ cấp theo trình độ đào tạo như sau:</w:t>
      </w:r>
    </w:p>
    <w:p w14:paraId="68137EB3" w14:textId="7F59C1A8" w:rsidR="0089366C" w:rsidRPr="00034C71" w:rsidRDefault="0089366C" w:rsidP="00D47F66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>a) Trình độ đại học trở lên: Hệ số 0,</w:t>
      </w:r>
      <w:r w:rsidR="002F0164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2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lần mức lương cơ sở;</w:t>
      </w:r>
    </w:p>
    <w:p w14:paraId="215EB919" w14:textId="72C45D5D" w:rsidR="00D47F66" w:rsidRPr="00034C71" w:rsidRDefault="0089366C" w:rsidP="00D47F66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>b</w:t>
      </w:r>
      <w:r w:rsidR="00D47F66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)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Trình độ cao đẳng: Hệ số 0,</w:t>
      </w:r>
      <w:r w:rsidR="00594113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15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lần mức lương cơ sở;</w:t>
      </w:r>
    </w:p>
    <w:p w14:paraId="6CE60A3B" w14:textId="723EBE88" w:rsidR="0089366C" w:rsidRPr="00034C71" w:rsidRDefault="0089366C" w:rsidP="00D47F66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>c) Trình độ trung cấp: Hệ số 0,</w:t>
      </w:r>
      <w:r w:rsidR="00F36796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1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lần mức lương cơ sở.</w:t>
      </w:r>
    </w:p>
    <w:p w14:paraId="2FF6B48B" w14:textId="52A112F9" w:rsidR="00F1093F" w:rsidRPr="00034C71" w:rsidRDefault="00F1093F" w:rsidP="00D47F66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4. Mức phụ cấp quy định tại khoản 1, khoản 2, khoản 3 Điều này không </w:t>
      </w:r>
      <w:r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>dùng để tính đóng bảo hiểm xã hội, bảo hiểm y tế trừ trường hợp pháp luật có quy định khác.</w:t>
      </w:r>
    </w:p>
    <w:p w14:paraId="1A33DA7A" w14:textId="20136CDD" w:rsidR="0020298E" w:rsidRPr="00034C71" w:rsidRDefault="0020298E" w:rsidP="0031792E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Điều 4. Số lượng, chức danh và mức hỗ trợ hằng tháng đối</w:t>
      </w: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với người tham gia hoạt động ở thôn</w:t>
      </w: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, tổ dân</w:t>
      </w: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phố</w:t>
      </w:r>
    </w:p>
    <w:p w14:paraId="69DB435E" w14:textId="2EA2B962" w:rsidR="0020298E" w:rsidRPr="00034C71" w:rsidRDefault="0031792E" w:rsidP="0031792E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1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. Số lượng người tham 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gia 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hoạt động ở 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mỗi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thôn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không quá 7 người, ở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mỗi tổ dân phố 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không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quá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6 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người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14:paraId="470729F0" w14:textId="5A511739" w:rsidR="0031792E" w:rsidRPr="00034C71" w:rsidRDefault="0031792E" w:rsidP="0031792E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2. 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Chức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danh, m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ức hỗ trợ hằng tháng đối với người tham gia hoạt động ở thôn, tổ dân phố tại thôn có từ 700 hộ gia đình trở lên; tổ dân phố có từ 1.000 hộ gia đình trở lên; thôn, tổ dân phố thuộc đơn vị hành chính cấp xã trọng </w:t>
      </w: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điểm về 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lastRenderedPageBreak/>
        <w:t>quốc phòng; thôn, tổ dân phố thuộc đơn vị hành chính cấp xã ở khu vực biên giới</w:t>
      </w:r>
      <w:r w:rsidR="00C72562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;</w:t>
      </w: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 thôn, tổ dân phố đặc biệt khó </w:t>
      </w:r>
      <w:r w:rsidR="0020298E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>khăn</w:t>
      </w:r>
      <w:r w:rsidR="0020298E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</w:rPr>
        <w:t>,</w:t>
      </w: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990"/>
        <w:gridCol w:w="1011"/>
        <w:gridCol w:w="1498"/>
      </w:tblGrid>
      <w:tr w:rsidR="00094402" w:rsidRPr="00034C71" w14:paraId="5FD6F985" w14:textId="77777777" w:rsidTr="00B82F26">
        <w:trPr>
          <w:trHeight w:val="661"/>
        </w:trPr>
        <w:tc>
          <w:tcPr>
            <w:tcW w:w="230" w:type="pct"/>
            <w:vAlign w:val="center"/>
          </w:tcPr>
          <w:p w14:paraId="4156B9E1" w14:textId="77777777" w:rsidR="008D4CC7" w:rsidRPr="00034C71" w:rsidRDefault="008D4CC7" w:rsidP="009F47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TT</w:t>
            </w:r>
          </w:p>
        </w:tc>
        <w:tc>
          <w:tcPr>
            <w:tcW w:w="3331" w:type="pct"/>
            <w:vAlign w:val="center"/>
          </w:tcPr>
          <w:p w14:paraId="3725BAF7" w14:textId="77777777" w:rsidR="008D4CC7" w:rsidRPr="00034C71" w:rsidRDefault="008D4CC7" w:rsidP="009F47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Chức danh</w:t>
            </w:r>
          </w:p>
        </w:tc>
        <w:tc>
          <w:tcPr>
            <w:tcW w:w="582" w:type="pct"/>
            <w:vAlign w:val="center"/>
          </w:tcPr>
          <w:p w14:paraId="3D82617C" w14:textId="77777777" w:rsidR="008D4CC7" w:rsidRPr="00034C71" w:rsidRDefault="008D4CC7" w:rsidP="009F47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Số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 xml:space="preserve"> lượng người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 xml:space="preserve"> ở mỗi 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thôn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/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tổ dân phố</w:t>
            </w:r>
          </w:p>
        </w:tc>
        <w:tc>
          <w:tcPr>
            <w:tcW w:w="856" w:type="pct"/>
            <w:vAlign w:val="center"/>
          </w:tcPr>
          <w:p w14:paraId="4DE29E06" w14:textId="77777777" w:rsidR="008D4CC7" w:rsidRPr="00034C71" w:rsidRDefault="008D4CC7" w:rsidP="009F47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Mức hỗ trợ hằng tháng</w:t>
            </w:r>
          </w:p>
          <w:p w14:paraId="40662A06" w14:textId="02410C98" w:rsidR="008D4CC7" w:rsidRPr="00034C71" w:rsidRDefault="008D4CC7" w:rsidP="009F47D5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(Hệ số so với mức lương cơ sở)</w:t>
            </w:r>
          </w:p>
        </w:tc>
      </w:tr>
      <w:tr w:rsidR="00094402" w:rsidRPr="00034C71" w14:paraId="42994D00" w14:textId="77777777" w:rsidTr="00B82F26">
        <w:trPr>
          <w:trHeight w:val="588"/>
        </w:trPr>
        <w:tc>
          <w:tcPr>
            <w:tcW w:w="230" w:type="pct"/>
            <w:vAlign w:val="center"/>
          </w:tcPr>
          <w:p w14:paraId="5295CFD7" w14:textId="65CECC7A" w:rsidR="008D4CC7" w:rsidRPr="00034C71" w:rsidRDefault="008D4CC7" w:rsidP="009F47D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331" w:type="pct"/>
            <w:vAlign w:val="center"/>
          </w:tcPr>
          <w:p w14:paraId="58535FB1" w14:textId="77777777" w:rsidR="008D4CC7" w:rsidRPr="00034C71" w:rsidRDefault="008D4CC7" w:rsidP="008D4CC7">
            <w:pPr>
              <w:spacing w:before="20" w:after="2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Nhân viên khuyến nông, khuyến lâm, thú y, môi trường (bố trí ở thôn)</w:t>
            </w:r>
          </w:p>
        </w:tc>
        <w:tc>
          <w:tcPr>
            <w:tcW w:w="582" w:type="pct"/>
            <w:vAlign w:val="center"/>
          </w:tcPr>
          <w:p w14:paraId="118AFB6B" w14:textId="77777777" w:rsidR="008D4CC7" w:rsidRPr="00034C71" w:rsidRDefault="008D4CC7" w:rsidP="009F47D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Align w:val="center"/>
          </w:tcPr>
          <w:p w14:paraId="1BDC03DA" w14:textId="77777777" w:rsidR="008D4CC7" w:rsidRPr="00034C71" w:rsidRDefault="008D4CC7" w:rsidP="009F47D5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0,5</w:t>
            </w:r>
          </w:p>
        </w:tc>
      </w:tr>
      <w:tr w:rsidR="00094402" w:rsidRPr="00034C71" w14:paraId="03D9B084" w14:textId="77777777" w:rsidTr="00B82F26">
        <w:trPr>
          <w:trHeight w:val="363"/>
        </w:trPr>
        <w:tc>
          <w:tcPr>
            <w:tcW w:w="230" w:type="pct"/>
            <w:vAlign w:val="center"/>
          </w:tcPr>
          <w:p w14:paraId="1EBDD219" w14:textId="66260885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3331" w:type="pct"/>
            <w:vAlign w:val="center"/>
          </w:tcPr>
          <w:p w14:paraId="7331D38F" w14:textId="693F3E01" w:rsidR="008D4CC7" w:rsidRPr="00034C71" w:rsidRDefault="008D4CC7" w:rsidP="008D4CC7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Phó Trưởng thôn hoặc Phó Tổ trưởng tổ dân phố</w:t>
            </w:r>
          </w:p>
        </w:tc>
        <w:tc>
          <w:tcPr>
            <w:tcW w:w="582" w:type="pct"/>
            <w:vAlign w:val="center"/>
          </w:tcPr>
          <w:p w14:paraId="598E03EB" w14:textId="3A3A92B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Align w:val="center"/>
          </w:tcPr>
          <w:p w14:paraId="383928A9" w14:textId="00C1A781" w:rsidR="008D4CC7" w:rsidRPr="00034C71" w:rsidRDefault="00C209B2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0,3</w:t>
            </w:r>
          </w:p>
        </w:tc>
      </w:tr>
      <w:tr w:rsidR="00094402" w:rsidRPr="00034C71" w14:paraId="3987675D" w14:textId="77777777" w:rsidTr="00B82F26">
        <w:trPr>
          <w:trHeight w:val="363"/>
        </w:trPr>
        <w:tc>
          <w:tcPr>
            <w:tcW w:w="230" w:type="pct"/>
            <w:vAlign w:val="center"/>
          </w:tcPr>
          <w:p w14:paraId="0E2BCEA5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3331" w:type="pct"/>
            <w:vAlign w:val="center"/>
          </w:tcPr>
          <w:p w14:paraId="41A35B05" w14:textId="77777777" w:rsidR="008D4CC7" w:rsidRPr="00034C71" w:rsidRDefault="008D4CC7" w:rsidP="008D4CC7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Chi hội trưởng Chi hội Cựu chiến binh</w:t>
            </w:r>
          </w:p>
        </w:tc>
        <w:tc>
          <w:tcPr>
            <w:tcW w:w="582" w:type="pct"/>
            <w:vAlign w:val="center"/>
          </w:tcPr>
          <w:p w14:paraId="32E7A8CE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 w:val="restart"/>
            <w:vAlign w:val="center"/>
          </w:tcPr>
          <w:p w14:paraId="7C43C671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0,25</w:t>
            </w:r>
          </w:p>
        </w:tc>
      </w:tr>
      <w:tr w:rsidR="00094402" w:rsidRPr="00034C71" w14:paraId="7D63C7CF" w14:textId="77777777" w:rsidTr="00B82F26">
        <w:trPr>
          <w:trHeight w:val="382"/>
        </w:trPr>
        <w:tc>
          <w:tcPr>
            <w:tcW w:w="230" w:type="pct"/>
            <w:vAlign w:val="center"/>
          </w:tcPr>
          <w:p w14:paraId="1A952677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3331" w:type="pct"/>
            <w:vAlign w:val="center"/>
          </w:tcPr>
          <w:p w14:paraId="66F1683D" w14:textId="77777777" w:rsidR="008D4CC7" w:rsidRPr="00034C71" w:rsidRDefault="008D4CC7" w:rsidP="008D4CC7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Chi hội trưởng Chi hội Phụ nữ</w:t>
            </w:r>
          </w:p>
        </w:tc>
        <w:tc>
          <w:tcPr>
            <w:tcW w:w="582" w:type="pct"/>
            <w:vAlign w:val="center"/>
          </w:tcPr>
          <w:p w14:paraId="5638D12A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5CBD0C67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  <w:tr w:rsidR="00094402" w:rsidRPr="00034C71" w14:paraId="61A155B7" w14:textId="77777777" w:rsidTr="00B82F26">
        <w:trPr>
          <w:trHeight w:val="363"/>
        </w:trPr>
        <w:tc>
          <w:tcPr>
            <w:tcW w:w="230" w:type="pct"/>
            <w:vAlign w:val="center"/>
          </w:tcPr>
          <w:p w14:paraId="77F54EAD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3331" w:type="pct"/>
            <w:vAlign w:val="center"/>
          </w:tcPr>
          <w:p w14:paraId="18D83411" w14:textId="77777777" w:rsidR="008D4CC7" w:rsidRPr="00034C71" w:rsidRDefault="008D4CC7" w:rsidP="008D4CC7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Chi hội trưởng Chi hội Người cao tuổi</w:t>
            </w:r>
          </w:p>
        </w:tc>
        <w:tc>
          <w:tcPr>
            <w:tcW w:w="582" w:type="pct"/>
            <w:vAlign w:val="center"/>
          </w:tcPr>
          <w:p w14:paraId="39523556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21D4F0D2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  <w:tr w:rsidR="00094402" w:rsidRPr="00034C71" w14:paraId="69931CDF" w14:textId="77777777" w:rsidTr="00B82F26">
        <w:trPr>
          <w:trHeight w:val="363"/>
        </w:trPr>
        <w:tc>
          <w:tcPr>
            <w:tcW w:w="230" w:type="pct"/>
            <w:vAlign w:val="center"/>
          </w:tcPr>
          <w:p w14:paraId="05622620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3331" w:type="pct"/>
            <w:vAlign w:val="center"/>
          </w:tcPr>
          <w:p w14:paraId="215D53FF" w14:textId="77777777" w:rsidR="008D4CC7" w:rsidRPr="00034C71" w:rsidRDefault="008D4CC7" w:rsidP="008D4CC7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Chi hội trưởng Chi hội Nông dân</w:t>
            </w:r>
          </w:p>
        </w:tc>
        <w:tc>
          <w:tcPr>
            <w:tcW w:w="582" w:type="pct"/>
            <w:vAlign w:val="center"/>
          </w:tcPr>
          <w:p w14:paraId="146C2439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13B6563B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  <w:tr w:rsidR="00094402" w:rsidRPr="00034C71" w14:paraId="0FFB9512" w14:textId="77777777" w:rsidTr="00B82F26">
        <w:trPr>
          <w:trHeight w:val="366"/>
        </w:trPr>
        <w:tc>
          <w:tcPr>
            <w:tcW w:w="230" w:type="pct"/>
            <w:vAlign w:val="center"/>
          </w:tcPr>
          <w:p w14:paraId="4BC77978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3331" w:type="pct"/>
            <w:vAlign w:val="center"/>
          </w:tcPr>
          <w:p w14:paraId="3E8BBDFF" w14:textId="31546B13" w:rsidR="008D4CC7" w:rsidRPr="00034C71" w:rsidRDefault="008D4CC7" w:rsidP="008D4CC7">
            <w:pPr>
              <w:jc w:val="both"/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lang w:val="en-US"/>
              </w:rPr>
              <w:t>Bí thư chi đoàn thanh niên Cộng sản Hồ Chí Minh</w:t>
            </w:r>
          </w:p>
        </w:tc>
        <w:tc>
          <w:tcPr>
            <w:tcW w:w="582" w:type="pct"/>
            <w:vAlign w:val="center"/>
          </w:tcPr>
          <w:p w14:paraId="1204AB78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5832C72D" w14:textId="77777777" w:rsidR="008D4CC7" w:rsidRPr="00034C71" w:rsidRDefault="008D4CC7" w:rsidP="008D4CC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41927F4C" w14:textId="33341290" w:rsidR="00432D09" w:rsidRPr="00034C71" w:rsidRDefault="00432D09" w:rsidP="00432D09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3. 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Chức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danh, m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ức hỗ trợ hằng tháng đối với người tham gia hoạt động ở thôn, tổ dân phố không thuộc khoản </w:t>
      </w:r>
      <w:r w:rsidR="00556A43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2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Điều này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990"/>
        <w:gridCol w:w="1011"/>
        <w:gridCol w:w="1498"/>
      </w:tblGrid>
      <w:tr w:rsidR="00094402" w:rsidRPr="00034C71" w14:paraId="553EBC58" w14:textId="77777777" w:rsidTr="00B82F26">
        <w:trPr>
          <w:trHeight w:val="661"/>
        </w:trPr>
        <w:tc>
          <w:tcPr>
            <w:tcW w:w="230" w:type="pct"/>
            <w:vAlign w:val="center"/>
          </w:tcPr>
          <w:p w14:paraId="71EE756F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TT</w:t>
            </w:r>
          </w:p>
        </w:tc>
        <w:tc>
          <w:tcPr>
            <w:tcW w:w="3331" w:type="pct"/>
            <w:vAlign w:val="center"/>
          </w:tcPr>
          <w:p w14:paraId="641C101E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Chức danh</w:t>
            </w:r>
          </w:p>
        </w:tc>
        <w:tc>
          <w:tcPr>
            <w:tcW w:w="582" w:type="pct"/>
            <w:vAlign w:val="center"/>
          </w:tcPr>
          <w:p w14:paraId="23A34536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Số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 xml:space="preserve"> lượng người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 xml:space="preserve"> ở mỗi 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thôn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/</w:t>
            </w: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</w:rPr>
              <w:t>tổ dân phố</w:t>
            </w:r>
          </w:p>
        </w:tc>
        <w:tc>
          <w:tcPr>
            <w:tcW w:w="856" w:type="pct"/>
            <w:vAlign w:val="center"/>
          </w:tcPr>
          <w:p w14:paraId="49A2FB30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en-US"/>
              </w:rPr>
              <w:t>Mức hỗ trợ hằng tháng</w:t>
            </w:r>
          </w:p>
          <w:p w14:paraId="0C8B40B9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</w:pPr>
            <w:r w:rsidRPr="00034C71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(Hệ số so với mức lương cơ sở)</w:t>
            </w:r>
          </w:p>
        </w:tc>
      </w:tr>
      <w:tr w:rsidR="00094402" w:rsidRPr="00034C71" w14:paraId="38A0F677" w14:textId="77777777" w:rsidTr="00B82F26">
        <w:trPr>
          <w:trHeight w:val="588"/>
        </w:trPr>
        <w:tc>
          <w:tcPr>
            <w:tcW w:w="230" w:type="pct"/>
            <w:vAlign w:val="center"/>
          </w:tcPr>
          <w:p w14:paraId="62CC4C37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331" w:type="pct"/>
            <w:vAlign w:val="center"/>
          </w:tcPr>
          <w:p w14:paraId="5294C86D" w14:textId="77777777" w:rsidR="000B4D3D" w:rsidRPr="00034C71" w:rsidRDefault="000B4D3D" w:rsidP="00DF1AD9">
            <w:pPr>
              <w:spacing w:before="20" w:after="2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Nhân viên khuyến nông, khuyến lâm, thú y, môi trường (bố trí ở thôn)</w:t>
            </w:r>
          </w:p>
        </w:tc>
        <w:tc>
          <w:tcPr>
            <w:tcW w:w="582" w:type="pct"/>
            <w:vAlign w:val="center"/>
          </w:tcPr>
          <w:p w14:paraId="30D9CD66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Align w:val="center"/>
          </w:tcPr>
          <w:p w14:paraId="2EA986B1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0,5</w:t>
            </w:r>
          </w:p>
        </w:tc>
      </w:tr>
      <w:tr w:rsidR="00094402" w:rsidRPr="00034C71" w14:paraId="7315E5E5" w14:textId="77777777" w:rsidTr="00B82F26">
        <w:trPr>
          <w:trHeight w:val="363"/>
        </w:trPr>
        <w:tc>
          <w:tcPr>
            <w:tcW w:w="230" w:type="pct"/>
            <w:vAlign w:val="center"/>
          </w:tcPr>
          <w:p w14:paraId="121BF59F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3331" w:type="pct"/>
            <w:vAlign w:val="center"/>
          </w:tcPr>
          <w:p w14:paraId="55AA85B0" w14:textId="77777777" w:rsidR="000B4D3D" w:rsidRPr="00034C71" w:rsidRDefault="000B4D3D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Phó Trưởng thôn hoặc Phó Tổ trưởng tổ dân phố</w:t>
            </w:r>
          </w:p>
        </w:tc>
        <w:tc>
          <w:tcPr>
            <w:tcW w:w="582" w:type="pct"/>
            <w:vAlign w:val="center"/>
          </w:tcPr>
          <w:p w14:paraId="09D7A23C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 w:val="restart"/>
            <w:vAlign w:val="center"/>
          </w:tcPr>
          <w:p w14:paraId="30777D7D" w14:textId="142F7EDE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0,25</w:t>
            </w:r>
          </w:p>
        </w:tc>
      </w:tr>
      <w:tr w:rsidR="00094402" w:rsidRPr="00034C71" w14:paraId="3868B5DD" w14:textId="77777777" w:rsidTr="00B82F26">
        <w:trPr>
          <w:trHeight w:val="363"/>
        </w:trPr>
        <w:tc>
          <w:tcPr>
            <w:tcW w:w="230" w:type="pct"/>
            <w:vAlign w:val="center"/>
          </w:tcPr>
          <w:p w14:paraId="2A2178F4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3331" w:type="pct"/>
            <w:vAlign w:val="center"/>
          </w:tcPr>
          <w:p w14:paraId="6129FEBB" w14:textId="77777777" w:rsidR="000B4D3D" w:rsidRPr="00034C71" w:rsidRDefault="000B4D3D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Chi hội trưởng Chi hội Cựu chiến binh</w:t>
            </w:r>
          </w:p>
        </w:tc>
        <w:tc>
          <w:tcPr>
            <w:tcW w:w="582" w:type="pct"/>
            <w:vAlign w:val="center"/>
          </w:tcPr>
          <w:p w14:paraId="231E40D3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5AA99FEA" w14:textId="63CB956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  <w:tr w:rsidR="00094402" w:rsidRPr="00034C71" w14:paraId="7B2F19C1" w14:textId="77777777" w:rsidTr="00B82F26">
        <w:trPr>
          <w:trHeight w:val="382"/>
        </w:trPr>
        <w:tc>
          <w:tcPr>
            <w:tcW w:w="230" w:type="pct"/>
            <w:vAlign w:val="center"/>
          </w:tcPr>
          <w:p w14:paraId="2415C1AB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3331" w:type="pct"/>
            <w:vAlign w:val="center"/>
          </w:tcPr>
          <w:p w14:paraId="71B3838D" w14:textId="77777777" w:rsidR="000B4D3D" w:rsidRPr="00034C71" w:rsidRDefault="000B4D3D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Chi hội trưởng Chi hội Phụ nữ</w:t>
            </w:r>
          </w:p>
        </w:tc>
        <w:tc>
          <w:tcPr>
            <w:tcW w:w="582" w:type="pct"/>
            <w:vAlign w:val="center"/>
          </w:tcPr>
          <w:p w14:paraId="0ECAAE8A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1096906B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  <w:tr w:rsidR="00094402" w:rsidRPr="00034C71" w14:paraId="1546D7DC" w14:textId="77777777" w:rsidTr="00B82F26">
        <w:trPr>
          <w:trHeight w:val="363"/>
        </w:trPr>
        <w:tc>
          <w:tcPr>
            <w:tcW w:w="230" w:type="pct"/>
            <w:vAlign w:val="center"/>
          </w:tcPr>
          <w:p w14:paraId="58FC0CDA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3331" w:type="pct"/>
            <w:vAlign w:val="center"/>
          </w:tcPr>
          <w:p w14:paraId="5885FE41" w14:textId="77777777" w:rsidR="000B4D3D" w:rsidRPr="00034C71" w:rsidRDefault="000B4D3D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Chi hội trưởng Chi hội Người cao tuổi</w:t>
            </w:r>
          </w:p>
        </w:tc>
        <w:tc>
          <w:tcPr>
            <w:tcW w:w="582" w:type="pct"/>
            <w:vAlign w:val="center"/>
          </w:tcPr>
          <w:p w14:paraId="2777F582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4012334D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  <w:tr w:rsidR="00094402" w:rsidRPr="00034C71" w14:paraId="00C3F83E" w14:textId="77777777" w:rsidTr="00B82F26">
        <w:trPr>
          <w:trHeight w:val="363"/>
        </w:trPr>
        <w:tc>
          <w:tcPr>
            <w:tcW w:w="230" w:type="pct"/>
            <w:vAlign w:val="center"/>
          </w:tcPr>
          <w:p w14:paraId="59D3BFF4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3331" w:type="pct"/>
            <w:vAlign w:val="center"/>
          </w:tcPr>
          <w:p w14:paraId="2B77D3DA" w14:textId="77777777" w:rsidR="000B4D3D" w:rsidRPr="00034C71" w:rsidRDefault="000B4D3D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Chi hội trưởng Chi hội Nông dân</w:t>
            </w:r>
          </w:p>
        </w:tc>
        <w:tc>
          <w:tcPr>
            <w:tcW w:w="582" w:type="pct"/>
            <w:vAlign w:val="center"/>
          </w:tcPr>
          <w:p w14:paraId="2F070E5D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3CBEDA28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  <w:tr w:rsidR="00094402" w:rsidRPr="00034C71" w14:paraId="0A0030A7" w14:textId="77777777" w:rsidTr="00B82F26">
        <w:trPr>
          <w:trHeight w:val="366"/>
        </w:trPr>
        <w:tc>
          <w:tcPr>
            <w:tcW w:w="230" w:type="pct"/>
            <w:vAlign w:val="center"/>
          </w:tcPr>
          <w:p w14:paraId="79170F7A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3331" w:type="pct"/>
            <w:vAlign w:val="center"/>
          </w:tcPr>
          <w:p w14:paraId="04B9BAEE" w14:textId="77777777" w:rsidR="000B4D3D" w:rsidRPr="00034C71" w:rsidRDefault="000B4D3D" w:rsidP="00DF1AD9">
            <w:pPr>
              <w:jc w:val="both"/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pacing w:val="-4"/>
                <w:sz w:val="28"/>
                <w:szCs w:val="28"/>
                <w:lang w:val="en-US"/>
              </w:rPr>
              <w:t>Bí thư chi đoàn thanh niên Cộng sản Hồ Chí Minh</w:t>
            </w:r>
          </w:p>
        </w:tc>
        <w:tc>
          <w:tcPr>
            <w:tcW w:w="582" w:type="pct"/>
            <w:vAlign w:val="center"/>
          </w:tcPr>
          <w:p w14:paraId="6444E200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856" w:type="pct"/>
            <w:vMerge/>
            <w:vAlign w:val="center"/>
          </w:tcPr>
          <w:p w14:paraId="419EF3EA" w14:textId="77777777" w:rsidR="000B4D3D" w:rsidRPr="00034C71" w:rsidRDefault="000B4D3D" w:rsidP="00DF1AD9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7A3CC4BB" w14:textId="4B23BF16" w:rsidR="00432D09" w:rsidRPr="00034C71" w:rsidRDefault="00432D09" w:rsidP="00D47C6E">
      <w:pPr>
        <w:spacing w:before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>4. Trường hợp văn bản pháp luật chuyên ngành quy định mức phụ cấp, hỗ trợ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cao hơn hoặc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có quy định khác về 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chế độ, chính sách đối với chức danh tại khoản 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2</w:t>
      </w:r>
      <w:r w:rsidR="0020298E" w:rsidRPr="00034C71">
        <w:rPr>
          <w:rFonts w:ascii="Times New Roman" w:hAnsi="Times New Roman" w:cs="Times New Roman"/>
          <w:iCs/>
          <w:color w:val="auto"/>
          <w:sz w:val="28"/>
          <w:szCs w:val="28"/>
        </w:rPr>
        <w:t>, khoản 3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Điều này thì thực hiện theo văn bản pháp luật chuyên ngành.</w:t>
      </w:r>
    </w:p>
    <w:p w14:paraId="16A6CCFB" w14:textId="59C91D2D" w:rsidR="0020298E" w:rsidRPr="00034C71" w:rsidRDefault="0020298E" w:rsidP="008B3CA0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</w:pPr>
      <w:r w:rsidRPr="00034C71"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  <w:lang w:val="en-US"/>
        </w:rPr>
        <w:t>Điều 5. Kiêm nhiệm chức danh và mức phụ cấp</w:t>
      </w:r>
      <w:r w:rsidRPr="00034C71"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</w:rPr>
        <w:t>,</w:t>
      </w:r>
      <w:r w:rsidR="00F21698" w:rsidRPr="00034C71"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  <w:lang w:val="en-US"/>
        </w:rPr>
        <w:t xml:space="preserve"> mức</w:t>
      </w:r>
      <w:r w:rsidRPr="00034C71">
        <w:rPr>
          <w:rFonts w:ascii="Times New Roman" w:hAnsi="Times New Roman" w:cs="Times New Roman"/>
          <w:b/>
          <w:bCs/>
          <w:iCs/>
          <w:color w:val="auto"/>
          <w:spacing w:val="-2"/>
          <w:sz w:val="28"/>
          <w:szCs w:val="28"/>
        </w:rPr>
        <w:t xml:space="preserve"> hỗ trợ kiêm nhiệm</w:t>
      </w:r>
    </w:p>
    <w:p w14:paraId="12E67DF4" w14:textId="19E8E506" w:rsidR="008B3CA0" w:rsidRPr="00034C71" w:rsidRDefault="009B11D2" w:rsidP="008B3CA0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-2"/>
          <w:sz w:val="28"/>
          <w:szCs w:val="28"/>
          <w:lang w:val="en-US"/>
        </w:rPr>
        <w:t xml:space="preserve">1. </w:t>
      </w:r>
      <w:r w:rsidR="008B3CA0" w:rsidRPr="00034C71">
        <w:rPr>
          <w:rFonts w:ascii="Times New Roman" w:hAnsi="Times New Roman" w:cs="Times New Roman"/>
          <w:iCs/>
          <w:color w:val="auto"/>
          <w:spacing w:val="-2"/>
          <w:sz w:val="28"/>
          <w:szCs w:val="28"/>
          <w:lang w:val="en-US"/>
        </w:rPr>
        <w:t>Người hoạt động không chuyên trách ở thôn, tổ dân phố được kiêm nhiệm</w:t>
      </w:r>
      <w:r w:rsidR="00FD75CD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một</w:t>
      </w:r>
      <w:r w:rsidR="008B3C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chức danh người hoạt động không chuyên trách </w:t>
      </w:r>
      <w:r w:rsidR="00B60586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khác </w:t>
      </w:r>
      <w:r w:rsidR="007648E9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ở thôn, tổ dân phố</w:t>
      </w:r>
      <w:r w:rsidR="008B3C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hoặc </w:t>
      </w:r>
      <w:r w:rsidR="00FD75CD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một </w:t>
      </w:r>
      <w:r w:rsidR="008B3CA0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chức danh </w:t>
      </w:r>
      <w:r w:rsidR="0044580A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>tham</w:t>
      </w:r>
      <w:r w:rsidR="0044580A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</w:rPr>
        <w:t xml:space="preserve"> gia hoạt động</w:t>
      </w:r>
      <w:r w:rsidR="0089366C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</w:rPr>
        <w:t xml:space="preserve"> </w:t>
      </w:r>
      <w:r w:rsidR="008B3CA0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>ở thôn, tổ dân phố.</w:t>
      </w:r>
    </w:p>
    <w:p w14:paraId="1034EB08" w14:textId="0B4F57CB" w:rsidR="00987455" w:rsidRPr="00034C71" w:rsidRDefault="00987455" w:rsidP="008B3CA0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lastRenderedPageBreak/>
        <w:t xml:space="preserve">2. </w:t>
      </w:r>
      <w:r w:rsidR="0024290B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Người tham gia hoạt động ở thôn, tổ dân phố được kiêm nhiệm một chức danh người tham gia hoạt động </w:t>
      </w:r>
      <w:r w:rsidR="00B60586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khác </w:t>
      </w:r>
      <w:r w:rsidR="0024290B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>ở thôn, tổ dân phố</w:t>
      </w:r>
      <w:r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>.</w:t>
      </w:r>
    </w:p>
    <w:p w14:paraId="3B947587" w14:textId="6C5C095E" w:rsidR="00FC4E03" w:rsidRPr="00034C71" w:rsidRDefault="00987455" w:rsidP="008B3CA0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3</w:t>
      </w:r>
      <w:r w:rsidR="00A344E1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. </w:t>
      </w:r>
      <w:r w:rsidR="00FC4E03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Người kiêm nhiệm chức danh quy định tại khoản 1, khoản 2 Điều này được hưởng 100% mức phụ cấp của chức danh kiêm nhiệm (mức phụ cấp này </w:t>
      </w:r>
      <w:r w:rsidR="00FC4E03" w:rsidRPr="00034C71">
        <w:rPr>
          <w:rFonts w:ascii="Times New Roman" w:hAnsi="Times New Roman" w:cs="Times New Roman"/>
          <w:iCs/>
          <w:color w:val="auto"/>
          <w:spacing w:val="-4"/>
          <w:sz w:val="28"/>
          <w:szCs w:val="28"/>
          <w:lang w:val="en-US"/>
        </w:rPr>
        <w:t xml:space="preserve">không bao gồm khoản phụ cấp tăng thêm theo trình độ đào tạo quy định tại khoản </w:t>
      </w:r>
      <w:r w:rsidR="00B71448" w:rsidRPr="00034C71">
        <w:rPr>
          <w:rFonts w:ascii="Times New Roman" w:hAnsi="Times New Roman" w:cs="Times New Roman"/>
          <w:iCs/>
          <w:color w:val="auto"/>
          <w:spacing w:val="-4"/>
          <w:sz w:val="28"/>
          <w:szCs w:val="28"/>
          <w:lang w:val="en-US"/>
        </w:rPr>
        <w:t>3</w:t>
      </w:r>
      <w:r w:rsidR="00FC4E03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Điều 3 Nghị quyết này, nếu có)</w:t>
      </w:r>
      <w:r w:rsidR="001B2C0B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hoặc 100% mức hỗ trợ</w:t>
      </w:r>
      <w:r w:rsidR="00FC4E03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.</w:t>
      </w:r>
    </w:p>
    <w:p w14:paraId="68A06F90" w14:textId="61C0765E" w:rsidR="00F15D59" w:rsidRPr="00034C71" w:rsidRDefault="00F15D59" w:rsidP="009C3FDE">
      <w:pPr>
        <w:spacing w:before="120"/>
        <w:ind w:firstLine="72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Điều 6. Mức khoán kinh phí hoạt động ở thôn, tổ dân phố</w:t>
      </w:r>
    </w:p>
    <w:p w14:paraId="4E2BD1BE" w14:textId="579BDC13" w:rsidR="000D32DC" w:rsidRPr="00034C71" w:rsidRDefault="00295CB9" w:rsidP="009C3FDE">
      <w:pPr>
        <w:spacing w:before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1. Mức khoán kinh phí hoạt động ở </w:t>
      </w:r>
      <w:r w:rsidR="008915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thôn có từ 700 hộ gia đình trở lên; tổ dân phố có từ 1.000 hộ gia đình trở lên; thôn, tổ dân phố thuộc đơn vị hành chính cấp xã trọng điểm về quốc phòng theo quyết định của cơ quan có thẩm quyền; thôn, tổ dân phố thuộc đơn vị hành chính cấp xã ở khu vực biên giới</w:t>
      </w:r>
      <w:r w:rsidR="00EC4055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;</w:t>
      </w:r>
      <w:r w:rsidR="008915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thôn</w:t>
      </w:r>
      <w:r w:rsidR="00836586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, tổ dân phố</w:t>
      </w:r>
      <w:r w:rsidR="008915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đặc biệt khó </w:t>
      </w:r>
      <w:r w:rsidR="000D32DC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khăn</w:t>
      </w:r>
      <w:r w:rsidR="00CB1363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là 6.600.000 đồng/năm.</w:t>
      </w:r>
    </w:p>
    <w:p w14:paraId="79A033EB" w14:textId="78232C22" w:rsidR="000D32DC" w:rsidRPr="00034C71" w:rsidRDefault="00295CB9" w:rsidP="009C3FDE">
      <w:pPr>
        <w:spacing w:before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2. Mức khoán kinh phí hoạt động ở thôn, tổ dân phố còn </w:t>
      </w:r>
      <w:r w:rsidR="000D32DC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lại</w:t>
      </w:r>
      <w:r w:rsidR="00CB1363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là 6.000.000 đồng/năm.</w:t>
      </w:r>
    </w:p>
    <w:p w14:paraId="1F1A8FEB" w14:textId="71D8A725" w:rsidR="00340A15" w:rsidRPr="00034C71" w:rsidRDefault="00340A15" w:rsidP="006D78CB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 xml:space="preserve">Điều </w:t>
      </w:r>
      <w:r w:rsidR="00F15D59"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7</w:t>
      </w: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. Nguồn kinh phí</w:t>
      </w:r>
    </w:p>
    <w:p w14:paraId="39261D0A" w14:textId="1989DAD1" w:rsidR="00340A15" w:rsidRPr="00034C71" w:rsidRDefault="00340A15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 xml:space="preserve">Kinh phí thực hiện Nghị quyết do ngân sách Trung ương và ngân sách 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địa phương bảo đảm theo quy định của Luật Ngân sách nhà nước và các văn bản pháp luật có liên quan.</w:t>
      </w:r>
    </w:p>
    <w:p w14:paraId="37EE980D" w14:textId="75C6EC90" w:rsidR="008B3CA0" w:rsidRPr="00034C71" w:rsidRDefault="008B3CA0" w:rsidP="006D78CB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 xml:space="preserve">Điều </w:t>
      </w:r>
      <w:r w:rsidR="00295CB9"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8</w:t>
      </w: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. Tổ chức thực hiện</w:t>
      </w:r>
    </w:p>
    <w:p w14:paraId="574BE949" w14:textId="1996D6C3" w:rsidR="008B3CA0" w:rsidRPr="00034C71" w:rsidRDefault="007C6D5B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1. </w:t>
      </w:r>
      <w:r w:rsidR="008B3C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Giao Ủy ban nhân dân tỉnh </w:t>
      </w:r>
      <w:r w:rsidR="00C4421E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tổ chức thực hiện Nghị quyết này theo đúng quy định của pháp luật.</w:t>
      </w:r>
    </w:p>
    <w:p w14:paraId="6B33E1BC" w14:textId="6CE33DD6" w:rsidR="008B3CA0" w:rsidRPr="00034C71" w:rsidRDefault="00340A15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-4"/>
          <w:sz w:val="28"/>
          <w:szCs w:val="28"/>
          <w:lang w:val="en-US"/>
        </w:rPr>
        <w:t>2</w:t>
      </w:r>
      <w:r w:rsidR="007C6D5B" w:rsidRPr="00034C71">
        <w:rPr>
          <w:rFonts w:ascii="Times New Roman" w:hAnsi="Times New Roman" w:cs="Times New Roman"/>
          <w:iCs/>
          <w:color w:val="auto"/>
          <w:spacing w:val="-4"/>
          <w:sz w:val="28"/>
          <w:szCs w:val="28"/>
          <w:lang w:val="en-US"/>
        </w:rPr>
        <w:t xml:space="preserve">. </w:t>
      </w:r>
      <w:r w:rsidR="00C4421E" w:rsidRPr="00034C71">
        <w:rPr>
          <w:rFonts w:ascii="Times New Roman" w:hAnsi="Times New Roman" w:cs="Times New Roman"/>
          <w:iCs/>
          <w:color w:val="auto"/>
          <w:spacing w:val="-4"/>
          <w:sz w:val="28"/>
          <w:szCs w:val="28"/>
          <w:lang w:val="en-US"/>
        </w:rPr>
        <w:t xml:space="preserve">Giao </w:t>
      </w:r>
      <w:r w:rsidR="008B3CA0" w:rsidRPr="00034C71">
        <w:rPr>
          <w:rFonts w:ascii="Times New Roman" w:hAnsi="Times New Roman" w:cs="Times New Roman"/>
          <w:iCs/>
          <w:color w:val="auto"/>
          <w:spacing w:val="-4"/>
          <w:sz w:val="28"/>
          <w:szCs w:val="28"/>
          <w:lang w:val="en-US"/>
        </w:rPr>
        <w:t>Thường trực Hội đồng nhân dân tỉnh, các Ban của Hội đồng nhân dân</w:t>
      </w:r>
      <w:r w:rsidR="008B3C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tỉnh, </w:t>
      </w:r>
      <w:r w:rsidR="00C4421E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các </w:t>
      </w:r>
      <w:r w:rsidR="008B3CA0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Tổ đại biểu và đại biểu Hội đồng nhân dân tỉnh giám sát việc thực hiện Nghị quyết này.</w:t>
      </w:r>
    </w:p>
    <w:p w14:paraId="2653A203" w14:textId="2AA4F6BC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Điều 9. Điều khoản thi hành và chuyển tiếp</w:t>
      </w:r>
    </w:p>
    <w:p w14:paraId="1B6377B7" w14:textId="40113AEB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1. Nghị quyết này có hiệu lực thi hành từ ngày 01 tháng 7 năm 2026.</w:t>
      </w:r>
    </w:p>
    <w:p w14:paraId="51F4654C" w14:textId="5CF4C7ED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2. Kể từ ngày Nghị quyết này có hiệu lực thi hành, bãi bỏ các nghị quyết, nội dung quy định sau đây, trừ trường hợp quy định tại khoản 3 Điều này:</w:t>
      </w:r>
    </w:p>
    <w:p w14:paraId="2D96ED26" w14:textId="73A53C6E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>a) Bãi bỏ toàn bộ Nghị quyết số 26/2023/NQ-HĐND ngày 07 tháng 12 năm 2023 của Hội đồng nhân dân tỉnh Tuyên Quang quy định về người hoạt động không chuyên trách; người tham gia hoạt động ở thôn, tổ dân phố; khoán kinh phí hoạt động ở cấp xã, ở thôn, tổ dân phố trên địa bàn tỉnh Tuyên Quang;</w:t>
      </w:r>
    </w:p>
    <w:p w14:paraId="3D3F3CA4" w14:textId="54ADCDF3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>b) Bãi bỏ toàn bộ Nghị quyết số 25/2024/NQ-HĐND ngày 26 tháng 12 năm 2024 của Hội đồng nhân dân tỉnh Tuyên Quang sửa đổi, bổ sung khoản 5 Điều 2 và Điều 4 Nghị quyết số 26/2023/NQ-HĐND ngày 07 tháng 12 năm 2023 của Hội đồng nhân dân tỉnh Tuyên Quang</w:t>
      </w:r>
      <w:r w:rsidR="00680BB5"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 quy định về người hoạt động không chuyên trách; người tham gia hoạt động ở thôn, tổ dân phố; khoán kinh phí hoạt động ở cấp xã, ở thôn, tổ dân phố trên địa bàn tỉnh Tuyên Quang</w:t>
      </w: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>;</w:t>
      </w:r>
    </w:p>
    <w:p w14:paraId="0D0F8F7D" w14:textId="77777777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 xml:space="preserve">c) Bãi bỏ toàn bộ Nghị quyết số 28/2023/NQ-HĐND ngày 08 tháng 12 năm 2023 của Hội đồng nhân dân tỉnh Hà Giang quy định chức danh, kiêm nhiệm 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lastRenderedPageBreak/>
        <w:t>chức danh, mức phụ cấp của người hoạt động không chuyên trách ở cấp xã, ở thôn, tổ dân phố; mức khoán kinh phí hoạt động của các tổ chức chính trị - xã hội ở cấp xã; mức hỗ trợ hằng tháng đối với người trực tiếp tham gia hoạt động ở thôn, tổ dân phố và mức phụ cấp kiêm nhiệm người trực tiếp tham gia hoạt động ở thôn, tổ dân phố trên địa bàn tỉnh Hà Giang;</w:t>
      </w:r>
    </w:p>
    <w:p w14:paraId="11B7909C" w14:textId="77777777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6"/>
          <w:sz w:val="28"/>
          <w:szCs w:val="28"/>
          <w:lang w:val="en-US"/>
        </w:rPr>
        <w:t xml:space="preserve">d) Bãi bỏ số thứ tự 39, 41 Mục III Phụ lục III và số thứ tự 36 Mục II </w:t>
      </w:r>
      <w:r w:rsidRPr="00034C71">
        <w:rPr>
          <w:rFonts w:ascii="Times New Roman" w:hAnsi="Times New Roman" w:cs="Times New Roman"/>
          <w:iCs/>
          <w:color w:val="auto"/>
          <w:spacing w:val="4"/>
          <w:sz w:val="28"/>
          <w:szCs w:val="28"/>
          <w:lang w:val="en-US"/>
        </w:rPr>
        <w:t xml:space="preserve">Phụ lục IV ban hành kèm theo Nghị quyết số 51/NQ-HĐND ngày 25 tháng 8 </w:t>
      </w:r>
      <w:r w:rsidRPr="00034C71">
        <w:rPr>
          <w:rFonts w:ascii="Times New Roman" w:hAnsi="Times New Roman" w:cs="Times New Roman"/>
          <w:iCs/>
          <w:color w:val="auto"/>
          <w:spacing w:val="-4"/>
          <w:sz w:val="28"/>
          <w:szCs w:val="28"/>
          <w:lang w:val="en-US"/>
        </w:rPr>
        <w:t>năm 2025 của Hội đồng nhân dân tỉnh Tuyên Quang về việc áp dụng các nghị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quyết quy phạm pháp luật của Hội đồng nhân dân tỉnh Tuyên Quang và tỉnh Hà Giang trước sắp xếp trên địa bàn tỉnh Tuyên Quang.</w:t>
      </w:r>
    </w:p>
    <w:p w14:paraId="3259232C" w14:textId="6241894E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2"/>
          <w:sz w:val="28"/>
          <w:szCs w:val="28"/>
          <w:lang w:val="en-US"/>
        </w:rPr>
        <w:t>3. Các quy định về chức danh, mức phụ cấp, mức hỗ trợ hằng tháng và phụ cấp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kiêm nhiệm đối với Nhân viên y tế ở thôn, tổ dân phố tại Nghị quyết số 26/2023/NQ-HĐND ngày 07 tháng 12 năm 2023 của Hội đồng nhân dân tỉnh Tuyên Quang, Nghị quyết số 25/2024/NQ-HĐND ngày 26 tháng 12 năm 2024 của Hội đồng nhân dân tỉnh Tuyên Quang và Nghị quyết số 28/2023/NQ-HĐND ngày 08 tháng 12 năm 2023 của Hội đồng nhân dân tỉnh Hà Giang tiếp tục được áp dụng đến hết ngày 14 tháng 7 năm 2026.</w:t>
      </w:r>
    </w:p>
    <w:p w14:paraId="20A72D8C" w14:textId="09BB4DEF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pacing w:val="-4"/>
          <w:sz w:val="28"/>
          <w:szCs w:val="28"/>
          <w:lang w:val="en-US"/>
        </w:rPr>
        <w:t>4. Từ ngày 15 tháng 7 năm 2026, chế độ hỗ trợ hằng tháng đối với nhân viên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y tế thôn, tổ dân phố</w:t>
      </w:r>
      <w:r w:rsidR="008B318B"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 </w:t>
      </w: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thực hiện theo quy định của Nghị định số 192/2026/NĐ-CP ngày 30 tháng 5 năm 2026 của Chính phủ quy định một số chế độ phụ cấp đặc thù trong lĩnh vực y tế, hỗ trợ hằng tháng đối với nhân viên y tế thôn, tổ dân phố và cô đỡ thôn, bản và văn bản quy định chi tiết, hướng dẫn thi hành.</w:t>
      </w:r>
    </w:p>
    <w:p w14:paraId="6B08DF61" w14:textId="2A8D40B7" w:rsidR="0049764E" w:rsidRPr="00034C71" w:rsidRDefault="0049764E" w:rsidP="006D78C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5. Trường hợp văn bản quy phạm pháp luật được viện dẫn tại Nghị quyết </w:t>
      </w:r>
      <w:r w:rsidRPr="00034C71">
        <w:rPr>
          <w:rFonts w:ascii="Times New Roman" w:hAnsi="Times New Roman" w:cs="Times New Roman"/>
          <w:iCs/>
          <w:color w:val="auto"/>
          <w:spacing w:val="6"/>
          <w:sz w:val="28"/>
          <w:szCs w:val="28"/>
          <w:lang w:val="en-US"/>
        </w:rPr>
        <w:t>này được sửa đổi, bổ sung hoặc thay thế thì thực hiện theo văn bản sửa đổi, bổ sung hoặc thay thế đó.</w:t>
      </w:r>
    </w:p>
    <w:p w14:paraId="3E833B2D" w14:textId="7B5B78AB" w:rsidR="007C312C" w:rsidRPr="00034C71" w:rsidRDefault="007C312C" w:rsidP="007C312C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</w:pP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</w:rPr>
        <w:t>Nghị quyết này đã được Hội đồng nhân dân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tỉnh Tuyên Quang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khóa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XX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, Kỳ họp </w:t>
      </w:r>
      <w:r w:rsidR="00313AC4"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thứ …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thông qua ngày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</w:rPr>
        <w:t>... tháng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</w:rPr>
        <w:t>... năm</w:t>
      </w:r>
      <w:r w:rsidRPr="00034C71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2026.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3683"/>
      </w:tblGrid>
      <w:tr w:rsidR="007C312C" w:rsidRPr="00034C71" w14:paraId="13B00F35" w14:textId="77777777" w:rsidTr="003B37B0">
        <w:trPr>
          <w:trHeight w:val="2681"/>
        </w:trPr>
        <w:tc>
          <w:tcPr>
            <w:tcW w:w="2970" w:type="pct"/>
          </w:tcPr>
          <w:p w14:paraId="4B820922" w14:textId="77777777" w:rsidR="007C312C" w:rsidRPr="00034C71" w:rsidRDefault="007C312C" w:rsidP="003B37B0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</w:rPr>
              <w:t>Nơi nhận:</w:t>
            </w:r>
          </w:p>
          <w:p w14:paraId="56A54ABF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Chính phủ;</w:t>
            </w:r>
          </w:p>
          <w:p w14:paraId="1E3162B9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Cục Kiểm tra văn bản và quản lý xử lý vi phạm hành chính, Bộ Tư pháp;</w:t>
            </w:r>
          </w:p>
          <w:p w14:paraId="67A504CF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Thường trực Tỉnh ủy;</w:t>
            </w:r>
          </w:p>
          <w:p w14:paraId="6D71E749" w14:textId="3FCAF064" w:rsidR="001A009E" w:rsidRPr="00034C71" w:rsidRDefault="001A009E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 Thường trực HĐND;</w:t>
            </w:r>
          </w:p>
          <w:p w14:paraId="40B65C7B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Ủy ban nhân dân tỉnh;</w:t>
            </w:r>
          </w:p>
          <w:p w14:paraId="2F06A803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Ủy ban MTTQ VN và các tổ chức chính trị - xã hội tỉnh;</w:t>
            </w:r>
          </w:p>
          <w:p w14:paraId="2D683FF3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Các Ban của HĐND tỉnh, đại biểu HĐND tỉnh;</w:t>
            </w:r>
          </w:p>
          <w:p w14:paraId="136A2459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Các sở, ban, ngành cấp tỉnh;</w:t>
            </w:r>
          </w:p>
          <w:p w14:paraId="6A01205A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Các Văn phòng: Tỉnh ủy, Đoàn ĐBQH và HĐND tỉnh, UBND tỉnh;</w:t>
            </w:r>
          </w:p>
          <w:p w14:paraId="48431B79" w14:textId="517C3FEB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HĐND, UBND các xã, phường;</w:t>
            </w:r>
          </w:p>
          <w:p w14:paraId="5181D7AF" w14:textId="2A264ACA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- Báo và Phát thanh, </w:t>
            </w:r>
            <w:r w:rsidR="001A009E"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t</w:t>
            </w: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ruyền hình </w:t>
            </w:r>
            <w:r w:rsidR="001A009E"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Tuyên</w:t>
            </w:r>
            <w:r w:rsidR="001A009E"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Quang</w:t>
            </w: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7D3C2F89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-6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pacing w:val="-6"/>
                <w:sz w:val="22"/>
                <w:szCs w:val="22"/>
                <w:lang w:val="en-US"/>
              </w:rPr>
              <w:t>- Trung tâm Thông tin và Công báo tỉnh Tuyên Quang (đăng tải);</w:t>
            </w:r>
          </w:p>
          <w:p w14:paraId="08F8883E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Cơ sở dữ liệu văn bản quy phạm pháp luật tỉnh (đăng tải);</w:t>
            </w:r>
          </w:p>
          <w:p w14:paraId="418F7489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Cổng thông tin điện tử tỉnh;</w:t>
            </w:r>
          </w:p>
          <w:p w14:paraId="37768695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Trang thông tin điện tử Đoàn ĐBQH và HĐND tỉnh;</w:t>
            </w:r>
          </w:p>
          <w:p w14:paraId="5915E1A9" w14:textId="77777777" w:rsidR="007C312C" w:rsidRPr="00034C71" w:rsidRDefault="007C312C" w:rsidP="003B37B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- Lưu: VT, …</w:t>
            </w:r>
          </w:p>
        </w:tc>
        <w:tc>
          <w:tcPr>
            <w:tcW w:w="2030" w:type="pct"/>
          </w:tcPr>
          <w:p w14:paraId="377F00F0" w14:textId="77777777" w:rsidR="007C312C" w:rsidRPr="00034C71" w:rsidRDefault="007C312C" w:rsidP="003B37B0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  <w:r w:rsidRPr="00034C7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CHỦ TỊCH</w:t>
            </w:r>
            <w:r w:rsidRPr="00034C7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br/>
            </w:r>
          </w:p>
          <w:p w14:paraId="1E53CA49" w14:textId="77777777" w:rsidR="007C312C" w:rsidRPr="00034C71" w:rsidRDefault="007C312C" w:rsidP="003B37B0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0F8416DB" w14:textId="77777777" w:rsidR="007C312C" w:rsidRPr="00034C71" w:rsidRDefault="007C312C" w:rsidP="003B37B0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596D9C36" w14:textId="77777777" w:rsidR="007C312C" w:rsidRPr="00034C71" w:rsidRDefault="007C312C" w:rsidP="003B37B0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</w:pPr>
          </w:p>
          <w:p w14:paraId="5D0E967D" w14:textId="77777777" w:rsidR="007C312C" w:rsidRPr="00034C71" w:rsidRDefault="007C312C" w:rsidP="003B37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34C71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/>
              </w:rPr>
              <w:br/>
            </w:r>
            <w:r w:rsidRPr="00034C7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br/>
              <w:t>Nguyễn Văn Sơn</w:t>
            </w:r>
          </w:p>
        </w:tc>
      </w:tr>
    </w:tbl>
    <w:p w14:paraId="394609A0" w14:textId="77777777" w:rsidR="008B3CA0" w:rsidRPr="00034C71" w:rsidRDefault="008B3CA0" w:rsidP="00AD2DFB">
      <w:pPr>
        <w:spacing w:before="120" w:after="120"/>
        <w:ind w:firstLine="720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</w:p>
    <w:sectPr w:rsidR="008B3CA0" w:rsidRPr="00034C71" w:rsidSect="00C52AAC">
      <w:headerReference w:type="default" r:id="rId7"/>
      <w:pgSz w:w="11907" w:h="16840" w:code="9"/>
      <w:pgMar w:top="1021" w:right="1134" w:bottom="1021" w:left="1701" w:header="45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303A" w14:textId="77777777" w:rsidR="00ED5F37" w:rsidRDefault="00ED5F37" w:rsidP="00570E69">
      <w:r>
        <w:separator/>
      </w:r>
    </w:p>
  </w:endnote>
  <w:endnote w:type="continuationSeparator" w:id="0">
    <w:p w14:paraId="261497B2" w14:textId="77777777" w:rsidR="00ED5F37" w:rsidRDefault="00ED5F37" w:rsidP="0057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46B7" w14:textId="77777777" w:rsidR="00ED5F37" w:rsidRDefault="00ED5F37" w:rsidP="00570E69">
      <w:r>
        <w:separator/>
      </w:r>
    </w:p>
  </w:footnote>
  <w:footnote w:type="continuationSeparator" w:id="0">
    <w:p w14:paraId="00A37705" w14:textId="77777777" w:rsidR="00ED5F37" w:rsidRDefault="00ED5F37" w:rsidP="0057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8826766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CB3FAD" w14:textId="31B0638F" w:rsidR="00570E69" w:rsidRPr="00570E69" w:rsidRDefault="00570E69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0E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0E6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70E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4F1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70E6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156A3D7" w14:textId="77777777" w:rsidR="00570E69" w:rsidRPr="00570E69" w:rsidRDefault="00570E69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C2B47"/>
    <w:multiLevelType w:val="hybridMultilevel"/>
    <w:tmpl w:val="E460C87C"/>
    <w:lvl w:ilvl="0" w:tplc="8D662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374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04"/>
    <w:rsid w:val="000014DA"/>
    <w:rsid w:val="00006C4E"/>
    <w:rsid w:val="000118F2"/>
    <w:rsid w:val="00013B84"/>
    <w:rsid w:val="00013D17"/>
    <w:rsid w:val="00023B59"/>
    <w:rsid w:val="00031152"/>
    <w:rsid w:val="00031323"/>
    <w:rsid w:val="000316DF"/>
    <w:rsid w:val="00034C71"/>
    <w:rsid w:val="00041E7C"/>
    <w:rsid w:val="0004430D"/>
    <w:rsid w:val="000520E9"/>
    <w:rsid w:val="00063A73"/>
    <w:rsid w:val="0007664C"/>
    <w:rsid w:val="00094402"/>
    <w:rsid w:val="000A23F5"/>
    <w:rsid w:val="000A575B"/>
    <w:rsid w:val="000B0A14"/>
    <w:rsid w:val="000B19CE"/>
    <w:rsid w:val="000B4D3D"/>
    <w:rsid w:val="000B59F0"/>
    <w:rsid w:val="000C6188"/>
    <w:rsid w:val="000D32DC"/>
    <w:rsid w:val="000E534D"/>
    <w:rsid w:val="001024BC"/>
    <w:rsid w:val="00106D40"/>
    <w:rsid w:val="00122E77"/>
    <w:rsid w:val="0012504F"/>
    <w:rsid w:val="00125831"/>
    <w:rsid w:val="00151006"/>
    <w:rsid w:val="0015448A"/>
    <w:rsid w:val="00154B00"/>
    <w:rsid w:val="00161D83"/>
    <w:rsid w:val="00162B03"/>
    <w:rsid w:val="00166128"/>
    <w:rsid w:val="00172400"/>
    <w:rsid w:val="00177F0A"/>
    <w:rsid w:val="0019052C"/>
    <w:rsid w:val="00192735"/>
    <w:rsid w:val="00194904"/>
    <w:rsid w:val="00195BA8"/>
    <w:rsid w:val="001A009E"/>
    <w:rsid w:val="001A56B9"/>
    <w:rsid w:val="001B22A5"/>
    <w:rsid w:val="001B2C0B"/>
    <w:rsid w:val="001B30F6"/>
    <w:rsid w:val="001B662B"/>
    <w:rsid w:val="001B6CD1"/>
    <w:rsid w:val="001D72C6"/>
    <w:rsid w:val="001E6B97"/>
    <w:rsid w:val="0020298E"/>
    <w:rsid w:val="00214A50"/>
    <w:rsid w:val="00220280"/>
    <w:rsid w:val="00222C6F"/>
    <w:rsid w:val="00225030"/>
    <w:rsid w:val="002252BB"/>
    <w:rsid w:val="00226935"/>
    <w:rsid w:val="00230D27"/>
    <w:rsid w:val="0024290B"/>
    <w:rsid w:val="00247BA0"/>
    <w:rsid w:val="00251C2A"/>
    <w:rsid w:val="00253B89"/>
    <w:rsid w:val="00273E8E"/>
    <w:rsid w:val="002752AD"/>
    <w:rsid w:val="002819BE"/>
    <w:rsid w:val="00295CB9"/>
    <w:rsid w:val="002A5DC8"/>
    <w:rsid w:val="002D4E15"/>
    <w:rsid w:val="002E237B"/>
    <w:rsid w:val="002E5739"/>
    <w:rsid w:val="002F0164"/>
    <w:rsid w:val="002F665B"/>
    <w:rsid w:val="002F74DE"/>
    <w:rsid w:val="00313AC4"/>
    <w:rsid w:val="00313E8F"/>
    <w:rsid w:val="0031792E"/>
    <w:rsid w:val="003216AA"/>
    <w:rsid w:val="00326A56"/>
    <w:rsid w:val="00331EE7"/>
    <w:rsid w:val="00340A15"/>
    <w:rsid w:val="003436D4"/>
    <w:rsid w:val="00362019"/>
    <w:rsid w:val="003714AD"/>
    <w:rsid w:val="00380443"/>
    <w:rsid w:val="003A4F53"/>
    <w:rsid w:val="003A6716"/>
    <w:rsid w:val="003A6D9C"/>
    <w:rsid w:val="003B4286"/>
    <w:rsid w:val="003B4A59"/>
    <w:rsid w:val="003D4F4C"/>
    <w:rsid w:val="003D5E35"/>
    <w:rsid w:val="003D7445"/>
    <w:rsid w:val="003E2BA2"/>
    <w:rsid w:val="003E3FA6"/>
    <w:rsid w:val="003E4D78"/>
    <w:rsid w:val="003E57F1"/>
    <w:rsid w:val="003F04A1"/>
    <w:rsid w:val="003F06E0"/>
    <w:rsid w:val="003F33B0"/>
    <w:rsid w:val="003F5998"/>
    <w:rsid w:val="004017A1"/>
    <w:rsid w:val="00432002"/>
    <w:rsid w:val="00432D09"/>
    <w:rsid w:val="0044580A"/>
    <w:rsid w:val="00450A51"/>
    <w:rsid w:val="0045662C"/>
    <w:rsid w:val="0046351C"/>
    <w:rsid w:val="004850AA"/>
    <w:rsid w:val="004868D5"/>
    <w:rsid w:val="00491B0E"/>
    <w:rsid w:val="0049764E"/>
    <w:rsid w:val="004A70FC"/>
    <w:rsid w:val="004C0A6E"/>
    <w:rsid w:val="005058C2"/>
    <w:rsid w:val="005144BC"/>
    <w:rsid w:val="005207F2"/>
    <w:rsid w:val="005252CA"/>
    <w:rsid w:val="0053225A"/>
    <w:rsid w:val="0053504F"/>
    <w:rsid w:val="005454F6"/>
    <w:rsid w:val="00545EB0"/>
    <w:rsid w:val="00556A43"/>
    <w:rsid w:val="005576B7"/>
    <w:rsid w:val="00570E69"/>
    <w:rsid w:val="00573271"/>
    <w:rsid w:val="00580C40"/>
    <w:rsid w:val="00584055"/>
    <w:rsid w:val="00593D05"/>
    <w:rsid w:val="00594113"/>
    <w:rsid w:val="00597BB4"/>
    <w:rsid w:val="005A1A5A"/>
    <w:rsid w:val="005A3484"/>
    <w:rsid w:val="005A3B36"/>
    <w:rsid w:val="005C14A0"/>
    <w:rsid w:val="005D104D"/>
    <w:rsid w:val="005D7B44"/>
    <w:rsid w:val="005E05E0"/>
    <w:rsid w:val="005E1AAB"/>
    <w:rsid w:val="006075D1"/>
    <w:rsid w:val="0062063D"/>
    <w:rsid w:val="006208DB"/>
    <w:rsid w:val="006302A7"/>
    <w:rsid w:val="00630E01"/>
    <w:rsid w:val="00631B07"/>
    <w:rsid w:val="00635E44"/>
    <w:rsid w:val="00637AEB"/>
    <w:rsid w:val="00646B57"/>
    <w:rsid w:val="00653DCE"/>
    <w:rsid w:val="006540CB"/>
    <w:rsid w:val="00661296"/>
    <w:rsid w:val="0067543B"/>
    <w:rsid w:val="0067783A"/>
    <w:rsid w:val="00680BB5"/>
    <w:rsid w:val="0068236F"/>
    <w:rsid w:val="006849B5"/>
    <w:rsid w:val="00690AF0"/>
    <w:rsid w:val="006A200E"/>
    <w:rsid w:val="006A3DED"/>
    <w:rsid w:val="006A676D"/>
    <w:rsid w:val="006C223F"/>
    <w:rsid w:val="006D0CA5"/>
    <w:rsid w:val="006D17D9"/>
    <w:rsid w:val="006D600B"/>
    <w:rsid w:val="006D78CB"/>
    <w:rsid w:val="006D7A56"/>
    <w:rsid w:val="006E018D"/>
    <w:rsid w:val="006F4F15"/>
    <w:rsid w:val="00712E86"/>
    <w:rsid w:val="00726F58"/>
    <w:rsid w:val="007453F9"/>
    <w:rsid w:val="00747572"/>
    <w:rsid w:val="00747F25"/>
    <w:rsid w:val="00751298"/>
    <w:rsid w:val="00756CE7"/>
    <w:rsid w:val="00756D3A"/>
    <w:rsid w:val="0076079A"/>
    <w:rsid w:val="007614F2"/>
    <w:rsid w:val="007648E9"/>
    <w:rsid w:val="007709C7"/>
    <w:rsid w:val="0078641D"/>
    <w:rsid w:val="0078764A"/>
    <w:rsid w:val="00793E42"/>
    <w:rsid w:val="00795AAF"/>
    <w:rsid w:val="007A765E"/>
    <w:rsid w:val="007C312C"/>
    <w:rsid w:val="007C6957"/>
    <w:rsid w:val="007C6D5B"/>
    <w:rsid w:val="007D540D"/>
    <w:rsid w:val="007E21D9"/>
    <w:rsid w:val="007E498C"/>
    <w:rsid w:val="007E7CA2"/>
    <w:rsid w:val="00804567"/>
    <w:rsid w:val="00807B15"/>
    <w:rsid w:val="00824F59"/>
    <w:rsid w:val="008275A3"/>
    <w:rsid w:val="008316E5"/>
    <w:rsid w:val="00833219"/>
    <w:rsid w:val="00836586"/>
    <w:rsid w:val="00840BCE"/>
    <w:rsid w:val="008616E3"/>
    <w:rsid w:val="008642E5"/>
    <w:rsid w:val="00864476"/>
    <w:rsid w:val="0087398D"/>
    <w:rsid w:val="00886AA0"/>
    <w:rsid w:val="00890ED5"/>
    <w:rsid w:val="008915A0"/>
    <w:rsid w:val="0089366C"/>
    <w:rsid w:val="008B318B"/>
    <w:rsid w:val="008B3CA0"/>
    <w:rsid w:val="008C225C"/>
    <w:rsid w:val="008D2A23"/>
    <w:rsid w:val="008D3510"/>
    <w:rsid w:val="008D3EFC"/>
    <w:rsid w:val="008D4CC7"/>
    <w:rsid w:val="008D4DB4"/>
    <w:rsid w:val="008E1510"/>
    <w:rsid w:val="008E3522"/>
    <w:rsid w:val="00902D35"/>
    <w:rsid w:val="0090695C"/>
    <w:rsid w:val="00912AEC"/>
    <w:rsid w:val="009208F3"/>
    <w:rsid w:val="00922C1C"/>
    <w:rsid w:val="00923DE8"/>
    <w:rsid w:val="009422EA"/>
    <w:rsid w:val="009426BF"/>
    <w:rsid w:val="00945426"/>
    <w:rsid w:val="00946DB1"/>
    <w:rsid w:val="00975635"/>
    <w:rsid w:val="009849AF"/>
    <w:rsid w:val="00987455"/>
    <w:rsid w:val="00993BCA"/>
    <w:rsid w:val="00997246"/>
    <w:rsid w:val="009A5296"/>
    <w:rsid w:val="009A7624"/>
    <w:rsid w:val="009B11D2"/>
    <w:rsid w:val="009B27A9"/>
    <w:rsid w:val="009B4284"/>
    <w:rsid w:val="009C3777"/>
    <w:rsid w:val="009C3FDE"/>
    <w:rsid w:val="009D7DB1"/>
    <w:rsid w:val="009E0B72"/>
    <w:rsid w:val="009F4ABF"/>
    <w:rsid w:val="00A02852"/>
    <w:rsid w:val="00A10BD6"/>
    <w:rsid w:val="00A14838"/>
    <w:rsid w:val="00A22194"/>
    <w:rsid w:val="00A275B3"/>
    <w:rsid w:val="00A33998"/>
    <w:rsid w:val="00A344E1"/>
    <w:rsid w:val="00A42798"/>
    <w:rsid w:val="00A52204"/>
    <w:rsid w:val="00A62D28"/>
    <w:rsid w:val="00A8091F"/>
    <w:rsid w:val="00A86AED"/>
    <w:rsid w:val="00A877C8"/>
    <w:rsid w:val="00A925F0"/>
    <w:rsid w:val="00AC525C"/>
    <w:rsid w:val="00AC7558"/>
    <w:rsid w:val="00AD2DFB"/>
    <w:rsid w:val="00AD7FE0"/>
    <w:rsid w:val="00AE3C90"/>
    <w:rsid w:val="00AE6E43"/>
    <w:rsid w:val="00AF0CFC"/>
    <w:rsid w:val="00AF2338"/>
    <w:rsid w:val="00AF2F85"/>
    <w:rsid w:val="00B11624"/>
    <w:rsid w:val="00B26445"/>
    <w:rsid w:val="00B356D6"/>
    <w:rsid w:val="00B40996"/>
    <w:rsid w:val="00B60586"/>
    <w:rsid w:val="00B71448"/>
    <w:rsid w:val="00B74CBE"/>
    <w:rsid w:val="00B74E31"/>
    <w:rsid w:val="00B82F0E"/>
    <w:rsid w:val="00B82F23"/>
    <w:rsid w:val="00B82F26"/>
    <w:rsid w:val="00B90B05"/>
    <w:rsid w:val="00B91D16"/>
    <w:rsid w:val="00B96375"/>
    <w:rsid w:val="00B97FBA"/>
    <w:rsid w:val="00BB5B8D"/>
    <w:rsid w:val="00BB77CD"/>
    <w:rsid w:val="00BC5C5A"/>
    <w:rsid w:val="00BE50F5"/>
    <w:rsid w:val="00BF17C6"/>
    <w:rsid w:val="00BF4E3F"/>
    <w:rsid w:val="00C17386"/>
    <w:rsid w:val="00C209B2"/>
    <w:rsid w:val="00C22FF9"/>
    <w:rsid w:val="00C33D03"/>
    <w:rsid w:val="00C4421E"/>
    <w:rsid w:val="00C52AAC"/>
    <w:rsid w:val="00C53149"/>
    <w:rsid w:val="00C53D8B"/>
    <w:rsid w:val="00C562E2"/>
    <w:rsid w:val="00C612A3"/>
    <w:rsid w:val="00C64EAF"/>
    <w:rsid w:val="00C72562"/>
    <w:rsid w:val="00C7767D"/>
    <w:rsid w:val="00C81C58"/>
    <w:rsid w:val="00C820C4"/>
    <w:rsid w:val="00C851E7"/>
    <w:rsid w:val="00C86E84"/>
    <w:rsid w:val="00C92C14"/>
    <w:rsid w:val="00CB1363"/>
    <w:rsid w:val="00CB5092"/>
    <w:rsid w:val="00CC0DA4"/>
    <w:rsid w:val="00CC2E6D"/>
    <w:rsid w:val="00CC31BE"/>
    <w:rsid w:val="00CE0623"/>
    <w:rsid w:val="00D01E16"/>
    <w:rsid w:val="00D17E93"/>
    <w:rsid w:val="00D21A57"/>
    <w:rsid w:val="00D30B12"/>
    <w:rsid w:val="00D47C6E"/>
    <w:rsid w:val="00D47F66"/>
    <w:rsid w:val="00D7506C"/>
    <w:rsid w:val="00D80B82"/>
    <w:rsid w:val="00D9044D"/>
    <w:rsid w:val="00D96686"/>
    <w:rsid w:val="00DA588F"/>
    <w:rsid w:val="00DB2FD7"/>
    <w:rsid w:val="00DB3231"/>
    <w:rsid w:val="00DD580B"/>
    <w:rsid w:val="00DD7EE2"/>
    <w:rsid w:val="00DE219A"/>
    <w:rsid w:val="00DE4270"/>
    <w:rsid w:val="00DF0388"/>
    <w:rsid w:val="00E03138"/>
    <w:rsid w:val="00E11ED6"/>
    <w:rsid w:val="00E35BFE"/>
    <w:rsid w:val="00E4295F"/>
    <w:rsid w:val="00E56629"/>
    <w:rsid w:val="00E573F9"/>
    <w:rsid w:val="00E578A8"/>
    <w:rsid w:val="00E63950"/>
    <w:rsid w:val="00E65D6C"/>
    <w:rsid w:val="00E700C9"/>
    <w:rsid w:val="00E70B5B"/>
    <w:rsid w:val="00E90BD2"/>
    <w:rsid w:val="00EA05EC"/>
    <w:rsid w:val="00EA0BA8"/>
    <w:rsid w:val="00EA1C0E"/>
    <w:rsid w:val="00EA407F"/>
    <w:rsid w:val="00EA78E7"/>
    <w:rsid w:val="00EB614B"/>
    <w:rsid w:val="00EB6BFD"/>
    <w:rsid w:val="00EC4055"/>
    <w:rsid w:val="00ED2DC8"/>
    <w:rsid w:val="00ED5F37"/>
    <w:rsid w:val="00EE05B1"/>
    <w:rsid w:val="00EE7614"/>
    <w:rsid w:val="00EF042B"/>
    <w:rsid w:val="00EF4BB5"/>
    <w:rsid w:val="00F1093F"/>
    <w:rsid w:val="00F15D59"/>
    <w:rsid w:val="00F16E94"/>
    <w:rsid w:val="00F21698"/>
    <w:rsid w:val="00F2494F"/>
    <w:rsid w:val="00F330A6"/>
    <w:rsid w:val="00F3389B"/>
    <w:rsid w:val="00F33FCC"/>
    <w:rsid w:val="00F357CB"/>
    <w:rsid w:val="00F36796"/>
    <w:rsid w:val="00F53B3B"/>
    <w:rsid w:val="00F56747"/>
    <w:rsid w:val="00F77401"/>
    <w:rsid w:val="00F8741C"/>
    <w:rsid w:val="00F9047D"/>
    <w:rsid w:val="00F90E0F"/>
    <w:rsid w:val="00FA2E62"/>
    <w:rsid w:val="00FA2E82"/>
    <w:rsid w:val="00FC4E03"/>
    <w:rsid w:val="00FD3861"/>
    <w:rsid w:val="00FD5137"/>
    <w:rsid w:val="00FD75CD"/>
    <w:rsid w:val="00FE1B8B"/>
    <w:rsid w:val="00FE376A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59089B"/>
  <w15:chartTrackingRefBased/>
  <w15:docId w15:val="{0EFE35F1-9CC8-4D9F-948F-FFFBDAA9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3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E69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70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E69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7C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D09"/>
    <w:rPr>
      <w:rFonts w:ascii="Microsoft Sans Serif" w:eastAsia="Microsoft Sans Serif" w:hAnsi="Microsoft Sans Serif" w:cs="Microsoft Sans Serif"/>
      <w:color w:val="000000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D09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cp:lastPrinted>2026-06-08T06:59:00Z</cp:lastPrinted>
  <dcterms:created xsi:type="dcterms:W3CDTF">2026-06-09T08:41:00Z</dcterms:created>
  <dcterms:modified xsi:type="dcterms:W3CDTF">2026-06-10T08:19:00Z</dcterms:modified>
</cp:coreProperties>
</file>