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5AD" w:rsidRDefault="00D235AD" w:rsidP="00A942C8">
      <w:pPr>
        <w:jc w:val="center"/>
        <w:rPr>
          <w:rStyle w:val="fontstyle01"/>
          <w:b/>
        </w:rPr>
      </w:pPr>
      <w:r>
        <w:rPr>
          <w:rStyle w:val="fontstyle01"/>
          <w:b/>
        </w:rPr>
        <w:t>Phụ lục</w:t>
      </w:r>
    </w:p>
    <w:p w:rsidR="00A942C8" w:rsidRPr="00AD53DD" w:rsidRDefault="00A942C8" w:rsidP="00A942C8">
      <w:pPr>
        <w:jc w:val="center"/>
        <w:rPr>
          <w:rStyle w:val="fontstyle01"/>
          <w:b/>
        </w:rPr>
      </w:pPr>
      <w:r w:rsidRPr="00AD53DD">
        <w:rPr>
          <w:b/>
          <w:szCs w:val="28"/>
        </w:rPr>
        <w:t>Một số yêu cầu kỹ thuật cơ bản đối với vùng trồng và cơ sở đóng gói quả bưởi, chanh tươi xuất khẩu sang Trung Quốc</w:t>
      </w:r>
    </w:p>
    <w:p w:rsidR="00A942C8" w:rsidRPr="00AD53DD" w:rsidRDefault="00A942C8" w:rsidP="00A942C8">
      <w:pPr>
        <w:rPr>
          <w:rStyle w:val="fontstyle01"/>
          <w:b/>
        </w:rPr>
      </w:pPr>
    </w:p>
    <w:p w:rsidR="00A942C8" w:rsidRPr="00AD53DD" w:rsidRDefault="00A942C8" w:rsidP="00A942C8">
      <w:pPr>
        <w:jc w:val="center"/>
        <w:rPr>
          <w:rStyle w:val="fontstyle21"/>
          <w:rFonts w:ascii="Times New Roman" w:hAnsi="Times New Roman"/>
          <w:i/>
          <w:sz w:val="28"/>
          <w:szCs w:val="28"/>
        </w:rPr>
      </w:pPr>
      <w:r w:rsidRPr="00AD53DD">
        <w:rPr>
          <w:rStyle w:val="fontstyle21"/>
          <w:rFonts w:ascii="Times New Roman" w:hAnsi="Times New Roman"/>
          <w:i/>
          <w:sz w:val="28"/>
          <w:szCs w:val="28"/>
        </w:rPr>
        <w:t>(Kèm theo Văn bản số       /SNNMT-TTBVTV ngày       /5/2026 của Sở Nông nghiệp và Môi trường)</w:t>
      </w:r>
    </w:p>
    <w:p w:rsidR="00A942C8" w:rsidRPr="00AD53DD" w:rsidRDefault="00A942C8" w:rsidP="00A942C8">
      <w:pPr>
        <w:jc w:val="center"/>
        <w:rPr>
          <w:rStyle w:val="fontstyle21"/>
          <w:rFonts w:ascii="Times New Roman" w:hAnsi="Times New Roman"/>
          <w:i/>
          <w:sz w:val="28"/>
          <w:szCs w:val="28"/>
        </w:rPr>
      </w:pPr>
    </w:p>
    <w:p w:rsidR="00A942C8" w:rsidRPr="00AD53DD" w:rsidRDefault="00A942C8" w:rsidP="00A942C8">
      <w:pPr>
        <w:spacing w:before="120" w:after="120"/>
        <w:ind w:firstLine="709"/>
        <w:rPr>
          <w:b/>
          <w:color w:val="000000"/>
          <w:szCs w:val="28"/>
        </w:rPr>
      </w:pPr>
      <w:r w:rsidRPr="00AD53DD">
        <w:rPr>
          <w:rStyle w:val="fontstyle21"/>
          <w:rFonts w:ascii="Times New Roman" w:hAnsi="Times New Roman"/>
          <w:b/>
          <w:i/>
          <w:sz w:val="28"/>
          <w:szCs w:val="28"/>
        </w:rPr>
        <w:t xml:space="preserve"> </w:t>
      </w:r>
      <w:r w:rsidRPr="00AD53DD">
        <w:rPr>
          <w:rStyle w:val="fontstyle21"/>
          <w:rFonts w:ascii="Times New Roman" w:hAnsi="Times New Roman"/>
          <w:b/>
          <w:sz w:val="28"/>
          <w:szCs w:val="28"/>
        </w:rPr>
        <w:t>I. Yêu cầu kỹ thuật đối với vùng trồng</w:t>
      </w:r>
    </w:p>
    <w:p w:rsidR="00A942C8" w:rsidRDefault="00A942C8" w:rsidP="00A942C8">
      <w:pPr>
        <w:spacing w:before="120" w:after="120"/>
        <w:ind w:firstLine="709"/>
        <w:rPr>
          <w:b/>
        </w:rPr>
      </w:pPr>
      <w:r w:rsidRPr="00AD53DD">
        <w:rPr>
          <w:b/>
          <w:szCs w:val="28"/>
        </w:rPr>
        <w:t>1</w:t>
      </w:r>
      <w:r w:rsidRPr="00D235AD">
        <w:rPr>
          <w:b/>
          <w:szCs w:val="28"/>
        </w:rPr>
        <w:t xml:space="preserve">. </w:t>
      </w:r>
      <w:r w:rsidR="00D235AD" w:rsidRPr="00D235AD">
        <w:rPr>
          <w:b/>
        </w:rPr>
        <w:t>Yêu cầu đối với quả bưởi, chanh tươi xuất khẩu sang Trung Quốc</w:t>
      </w:r>
    </w:p>
    <w:p w:rsidR="00A942C8" w:rsidRPr="00AD53DD" w:rsidRDefault="00A942C8" w:rsidP="00A942C8">
      <w:pPr>
        <w:spacing w:before="120" w:after="120"/>
        <w:ind w:left="709"/>
        <w:jc w:val="both"/>
        <w:rPr>
          <w:rStyle w:val="fontstyle01"/>
        </w:rPr>
      </w:pPr>
      <w:r w:rsidRPr="00AD53DD">
        <w:rPr>
          <w:b/>
          <w:szCs w:val="28"/>
        </w:rPr>
        <w:t xml:space="preserve">- </w:t>
      </w:r>
      <w:r w:rsidRPr="00AD53DD">
        <w:rPr>
          <w:rStyle w:val="fontstyle01"/>
        </w:rPr>
        <w:t xml:space="preserve">Không mang đối tượng kiểm dịch thực vật mà phía Trung Quốc quan tâm;    </w:t>
      </w:r>
    </w:p>
    <w:p w:rsidR="00A942C8" w:rsidRPr="00AD53DD" w:rsidRDefault="00A942C8" w:rsidP="00A942C8">
      <w:pPr>
        <w:spacing w:before="120" w:after="120"/>
        <w:ind w:firstLine="709"/>
        <w:jc w:val="both"/>
        <w:rPr>
          <w:rStyle w:val="fontstyle01"/>
          <w:spacing w:val="4"/>
        </w:rPr>
      </w:pPr>
      <w:r w:rsidRPr="00AD53DD">
        <w:rPr>
          <w:rStyle w:val="fontstyle01"/>
          <w:spacing w:val="4"/>
        </w:rPr>
        <w:t xml:space="preserve">- Đáp ứng các yêu cầu về kiểm dịch thực vật và an toàn thực phẩm của Trung Quốc; </w:t>
      </w:r>
    </w:p>
    <w:p w:rsidR="00A942C8" w:rsidRPr="00AD53DD" w:rsidRDefault="00A942C8" w:rsidP="00A942C8">
      <w:pPr>
        <w:spacing w:before="120" w:after="120"/>
        <w:ind w:firstLine="709"/>
        <w:jc w:val="both"/>
        <w:rPr>
          <w:szCs w:val="28"/>
        </w:rPr>
      </w:pPr>
      <w:r w:rsidRPr="00AD53DD">
        <w:rPr>
          <w:szCs w:val="28"/>
        </w:rPr>
        <w:t xml:space="preserve">- Có khả năng truy xuất nguồn gốc. </w:t>
      </w:r>
    </w:p>
    <w:p w:rsidR="00A942C8" w:rsidRPr="00AD53DD" w:rsidRDefault="00A942C8" w:rsidP="00A942C8">
      <w:pPr>
        <w:spacing w:before="120" w:after="120"/>
        <w:ind w:firstLine="709"/>
        <w:jc w:val="both"/>
        <w:rPr>
          <w:szCs w:val="28"/>
        </w:rPr>
      </w:pPr>
      <w:r w:rsidRPr="00AD53DD">
        <w:rPr>
          <w:spacing w:val="-4"/>
          <w:szCs w:val="28"/>
        </w:rPr>
        <w:t xml:space="preserve">- </w:t>
      </w:r>
      <w:r w:rsidRPr="00AD53DD">
        <w:rPr>
          <w:szCs w:val="28"/>
        </w:rPr>
        <w:t>Bưởi xuất khẩu sang Trung Quốc phải được bao quả trong chu kỳ sinh trưởng. Thời điểm bắt đầu bao quả phụ thuộc vào thời tiết, độ cao và các yếu tố khí hậu khác, nhưng việc bao quả phải bảo đảm thực hiện trước khi thu hoạch ít nhất 60 ngày.</w:t>
      </w:r>
    </w:p>
    <w:p w:rsidR="00A942C8" w:rsidRPr="00AD53DD" w:rsidRDefault="00A942C8" w:rsidP="00A942C8">
      <w:pPr>
        <w:spacing w:before="120" w:after="120"/>
        <w:ind w:firstLine="709"/>
        <w:jc w:val="both"/>
        <w:rPr>
          <w:rFonts w:eastAsia="SimSun"/>
          <w:snapToGrid w:val="0"/>
          <w:spacing w:val="-4"/>
          <w:szCs w:val="28"/>
          <w:lang w:val="vi-VN"/>
        </w:rPr>
      </w:pPr>
      <w:r w:rsidRPr="00AD53DD">
        <w:rPr>
          <w:rFonts w:eastAsia="SimSun"/>
          <w:spacing w:val="-4"/>
          <w:szCs w:val="28"/>
        </w:rPr>
        <w:t xml:space="preserve">- </w:t>
      </w:r>
      <w:r w:rsidRPr="00AD53DD">
        <w:rPr>
          <w:rFonts w:eastAsia="SimSun"/>
          <w:spacing w:val="-4"/>
          <w:szCs w:val="28"/>
          <w:lang w:val="vi-VN"/>
        </w:rPr>
        <w:t xml:space="preserve">Chanh xuất khẩu sang Trung Quốc phải có màu xanh và chưa chín. Bất kỳ quả chanh quá chín hoặc có màu vàng sẽ không được xuất khẩu sang Trung Quốc. </w:t>
      </w:r>
    </w:p>
    <w:p w:rsidR="00A942C8" w:rsidRPr="00AD53DD" w:rsidRDefault="00A942C8" w:rsidP="00A942C8">
      <w:pPr>
        <w:spacing w:before="120" w:after="120"/>
        <w:ind w:firstLine="709"/>
        <w:jc w:val="both"/>
        <w:rPr>
          <w:rStyle w:val="fontstyle01"/>
          <w:b/>
        </w:rPr>
      </w:pPr>
      <w:r w:rsidRPr="00AD53DD">
        <w:rPr>
          <w:rStyle w:val="fontstyle01"/>
          <w:b/>
        </w:rPr>
        <w:t>2. Tổ chức kiểm tra, giám sát khi xuất khẩu quả bưởi, chanh tươi sang Trung Quốc</w:t>
      </w:r>
    </w:p>
    <w:p w:rsidR="00A942C8" w:rsidRPr="00AD53DD" w:rsidRDefault="00A942C8" w:rsidP="00A942C8">
      <w:pPr>
        <w:spacing w:before="120" w:after="120"/>
        <w:ind w:firstLine="709"/>
        <w:jc w:val="both"/>
        <w:rPr>
          <w:rStyle w:val="fontstyle01"/>
        </w:rPr>
      </w:pPr>
      <w:r w:rsidRPr="00AD53DD">
        <w:rPr>
          <w:rStyle w:val="fontstyle01"/>
        </w:rPr>
        <w:t xml:space="preserve">- Tổng cục Hải quan Trung Quốc (GACC); </w:t>
      </w:r>
    </w:p>
    <w:p w:rsidR="00A942C8" w:rsidRPr="00AD53DD" w:rsidRDefault="00A942C8" w:rsidP="00A942C8">
      <w:pPr>
        <w:spacing w:before="120" w:after="120"/>
        <w:ind w:firstLine="709"/>
        <w:rPr>
          <w:rStyle w:val="fontstyle21"/>
          <w:rFonts w:ascii="Times New Roman" w:hAnsi="Times New Roman"/>
          <w:sz w:val="28"/>
          <w:szCs w:val="28"/>
        </w:rPr>
      </w:pPr>
      <w:r w:rsidRPr="00AD53DD">
        <w:rPr>
          <w:rStyle w:val="fontstyle01"/>
        </w:rPr>
        <w:t xml:space="preserve">- </w:t>
      </w:r>
      <w:r w:rsidRPr="00AD53DD">
        <w:rPr>
          <w:rStyle w:val="fontstyle21"/>
          <w:rFonts w:ascii="Times New Roman" w:hAnsi="Times New Roman"/>
          <w:sz w:val="28"/>
          <w:szCs w:val="28"/>
        </w:rPr>
        <w:t>Cục Trồng trọt và Bảo vệ thực vật - Bộ Nông nghiệp và Môi trường;</w:t>
      </w:r>
    </w:p>
    <w:p w:rsidR="00A942C8" w:rsidRPr="00AD53DD" w:rsidRDefault="00A942C8" w:rsidP="00A942C8">
      <w:pPr>
        <w:spacing w:before="120" w:after="120"/>
        <w:ind w:firstLine="709"/>
        <w:jc w:val="both"/>
        <w:rPr>
          <w:rStyle w:val="fontstyle01"/>
        </w:rPr>
      </w:pPr>
      <w:r w:rsidRPr="00AD53DD">
        <w:rPr>
          <w:rStyle w:val="fontstyle21"/>
          <w:rFonts w:ascii="Times New Roman" w:hAnsi="Times New Roman"/>
          <w:sz w:val="28"/>
          <w:szCs w:val="28"/>
        </w:rPr>
        <w:t xml:space="preserve">- </w:t>
      </w:r>
      <w:r w:rsidRPr="00AD53DD">
        <w:rPr>
          <w:rStyle w:val="fontstyle01"/>
        </w:rPr>
        <w:t>Chi cục Trồng trọt và Bảo vệ thực vật - Sở Nông nghiệp và Môi trường tỉnh Tuyên Quang.</w:t>
      </w:r>
    </w:p>
    <w:p w:rsidR="00A942C8" w:rsidRPr="00AD53DD" w:rsidRDefault="00A942C8" w:rsidP="00A942C8">
      <w:pPr>
        <w:snapToGrid w:val="0"/>
        <w:spacing w:before="120" w:after="120"/>
        <w:ind w:firstLine="709"/>
        <w:jc w:val="both"/>
        <w:rPr>
          <w:b/>
          <w:szCs w:val="28"/>
        </w:rPr>
      </w:pPr>
      <w:r w:rsidRPr="00AD53DD">
        <w:rPr>
          <w:b/>
          <w:szCs w:val="28"/>
        </w:rPr>
        <w:t>3. Yêu cầu đối với vùng trồng</w:t>
      </w:r>
    </w:p>
    <w:p w:rsidR="00A942C8" w:rsidRPr="00AD53DD" w:rsidRDefault="00A942C8" w:rsidP="00A942C8">
      <w:pPr>
        <w:snapToGrid w:val="0"/>
        <w:spacing w:before="120" w:after="120"/>
        <w:ind w:firstLine="709"/>
        <w:jc w:val="both"/>
        <w:rPr>
          <w:szCs w:val="28"/>
        </w:rPr>
      </w:pPr>
      <w:r w:rsidRPr="00AD53DD">
        <w:rPr>
          <w:szCs w:val="28"/>
        </w:rPr>
        <w:t xml:space="preserve">- Diện tích tối thiểu: 10 hecta (ha) </w:t>
      </w:r>
    </w:p>
    <w:p w:rsidR="00A942C8" w:rsidRPr="00AD53DD" w:rsidRDefault="00A942C8" w:rsidP="00A942C8">
      <w:pPr>
        <w:spacing w:before="120" w:after="120"/>
        <w:ind w:firstLine="709"/>
        <w:rPr>
          <w:szCs w:val="28"/>
        </w:rPr>
      </w:pPr>
      <w:r w:rsidRPr="00AD53DD">
        <w:rPr>
          <w:szCs w:val="28"/>
        </w:rPr>
        <w:t xml:space="preserve">- Xây dựng hệ thống quản lý chất lượng và truy xuất nguồn gốc. </w:t>
      </w:r>
    </w:p>
    <w:p w:rsidR="00A942C8" w:rsidRPr="00AD53DD" w:rsidRDefault="00A942C8" w:rsidP="00A942C8">
      <w:pPr>
        <w:spacing w:before="120" w:after="120"/>
        <w:ind w:firstLine="709"/>
        <w:rPr>
          <w:szCs w:val="28"/>
        </w:rPr>
      </w:pPr>
      <w:r w:rsidRPr="00AD53DD">
        <w:rPr>
          <w:szCs w:val="28"/>
        </w:rPr>
        <w:t xml:space="preserve">- Áp dụng Thực hành nông nghiệp tốt (GAP). </w:t>
      </w:r>
    </w:p>
    <w:p w:rsidR="00A942C8" w:rsidRPr="00AD53DD" w:rsidRDefault="00A942C8" w:rsidP="00A942C8">
      <w:pPr>
        <w:spacing w:before="120" w:after="120"/>
        <w:ind w:firstLine="709"/>
        <w:rPr>
          <w:szCs w:val="28"/>
        </w:rPr>
      </w:pPr>
      <w:r w:rsidRPr="00AD53DD">
        <w:rPr>
          <w:szCs w:val="28"/>
        </w:rPr>
        <w:t xml:space="preserve">- Thực hiện chương trình quản lý dịch hại tổng hợp (IPM). </w:t>
      </w:r>
    </w:p>
    <w:p w:rsidR="00A942C8" w:rsidRPr="00AD53DD" w:rsidRDefault="00A942C8" w:rsidP="00A942C8">
      <w:pPr>
        <w:spacing w:before="120" w:after="120"/>
        <w:ind w:firstLine="709"/>
        <w:jc w:val="both"/>
        <w:rPr>
          <w:spacing w:val="-8"/>
          <w:szCs w:val="28"/>
        </w:rPr>
      </w:pPr>
      <w:r w:rsidRPr="00AD53DD">
        <w:rPr>
          <w:spacing w:val="-8"/>
          <w:szCs w:val="28"/>
        </w:rPr>
        <w:t xml:space="preserve">- Thường xuyên vệ sinh vườn trồng, thu gom và tiêu hủy quả rụng, quả thối hỏng. </w:t>
      </w:r>
    </w:p>
    <w:p w:rsidR="00A942C8" w:rsidRPr="00AD53DD" w:rsidRDefault="00A942C8" w:rsidP="00A942C8">
      <w:pPr>
        <w:spacing w:before="120" w:after="120"/>
        <w:ind w:firstLine="709"/>
        <w:jc w:val="both"/>
        <w:rPr>
          <w:szCs w:val="28"/>
        </w:rPr>
      </w:pPr>
      <w:r w:rsidRPr="00AD53DD">
        <w:rPr>
          <w:szCs w:val="28"/>
        </w:rPr>
        <w:t xml:space="preserve">- Theo dõi, giám sát các đối tượng sinh vật gây hại mà phía Trung Quốc quan tâm trong suốt quá trình sản xuất. </w:t>
      </w:r>
    </w:p>
    <w:p w:rsidR="00A942C8" w:rsidRPr="00AD53DD" w:rsidRDefault="00A942C8" w:rsidP="00A942C8">
      <w:pPr>
        <w:spacing w:before="120" w:after="120"/>
        <w:ind w:firstLine="709"/>
        <w:jc w:val="both"/>
        <w:rPr>
          <w:szCs w:val="28"/>
        </w:rPr>
      </w:pPr>
      <w:r w:rsidRPr="00AD53DD">
        <w:rPr>
          <w:szCs w:val="28"/>
        </w:rPr>
        <w:t xml:space="preserve">- Áp dụng các biện pháp phòng trừ sinh vật gây hại bằng biện pháp vật lý, hóa học, sinh học và biện pháp canh tác phù hợp. </w:t>
      </w:r>
    </w:p>
    <w:p w:rsidR="00A942C8" w:rsidRPr="00AD53DD" w:rsidRDefault="00A942C8" w:rsidP="00A942C8">
      <w:pPr>
        <w:spacing w:before="120" w:after="120"/>
        <w:ind w:firstLine="709"/>
        <w:jc w:val="both"/>
        <w:rPr>
          <w:szCs w:val="28"/>
        </w:rPr>
      </w:pPr>
      <w:r w:rsidRPr="00AD53DD">
        <w:rPr>
          <w:szCs w:val="28"/>
        </w:rPr>
        <w:t xml:space="preserve">- Việc giám sát và phòng trừ sinh vật gây hại phải được thực hiện dưới sự hướng dẫn của cán bộ kỹ thuật đã được tập huấn. </w:t>
      </w:r>
    </w:p>
    <w:p w:rsidR="00A942C8" w:rsidRPr="00AD53DD" w:rsidRDefault="00A942C8" w:rsidP="00A942C8">
      <w:pPr>
        <w:spacing w:before="120" w:after="120"/>
        <w:ind w:firstLine="709"/>
        <w:rPr>
          <w:b/>
          <w:szCs w:val="28"/>
        </w:rPr>
      </w:pPr>
    </w:p>
    <w:p w:rsidR="00A942C8" w:rsidRPr="00AD53DD" w:rsidRDefault="00A942C8" w:rsidP="00A942C8">
      <w:pPr>
        <w:spacing w:before="120" w:after="120"/>
        <w:ind w:firstLine="709"/>
        <w:rPr>
          <w:b/>
          <w:szCs w:val="28"/>
        </w:rPr>
      </w:pPr>
      <w:r w:rsidRPr="00AD53DD">
        <w:rPr>
          <w:b/>
          <w:szCs w:val="28"/>
        </w:rPr>
        <w:t xml:space="preserve">- </w:t>
      </w:r>
      <w:r w:rsidRPr="00AD53DD">
        <w:rPr>
          <w:szCs w:val="28"/>
        </w:rPr>
        <w:t>Hồ sơ quản lý vùng trồng phải được lưu giữ đầy đủ, gồm:</w:t>
      </w:r>
      <w:r w:rsidRPr="00AD53DD">
        <w:rPr>
          <w:b/>
          <w:szCs w:val="28"/>
        </w:rPr>
        <w:t xml:space="preserve"> </w:t>
      </w:r>
    </w:p>
    <w:p w:rsidR="00A942C8" w:rsidRPr="00AD53DD" w:rsidRDefault="00A942C8" w:rsidP="00A942C8">
      <w:pPr>
        <w:spacing w:before="120" w:after="120"/>
        <w:ind w:firstLine="709"/>
        <w:rPr>
          <w:szCs w:val="28"/>
        </w:rPr>
      </w:pPr>
      <w:r w:rsidRPr="00AD53DD">
        <w:rPr>
          <w:szCs w:val="28"/>
        </w:rPr>
        <w:t xml:space="preserve">+ Nhật ký sản xuất; </w:t>
      </w:r>
    </w:p>
    <w:p w:rsidR="00A942C8" w:rsidRPr="00AD53DD" w:rsidRDefault="00A942C8" w:rsidP="00A942C8">
      <w:pPr>
        <w:spacing w:before="120" w:after="120"/>
        <w:ind w:firstLine="709"/>
        <w:rPr>
          <w:szCs w:val="28"/>
        </w:rPr>
      </w:pPr>
      <w:r w:rsidRPr="00AD53DD">
        <w:rPr>
          <w:szCs w:val="28"/>
        </w:rPr>
        <w:t xml:space="preserve">+ Nhật ký giám sát sinh vật gây hại; </w:t>
      </w:r>
    </w:p>
    <w:p w:rsidR="00A942C8" w:rsidRPr="00AD53DD" w:rsidRDefault="00A942C8" w:rsidP="00A942C8">
      <w:pPr>
        <w:spacing w:before="120" w:after="120"/>
        <w:ind w:firstLine="709"/>
        <w:rPr>
          <w:szCs w:val="28"/>
        </w:rPr>
      </w:pPr>
      <w:r w:rsidRPr="00AD53DD">
        <w:rPr>
          <w:szCs w:val="28"/>
        </w:rPr>
        <w:t xml:space="preserve">+ Hồ sơ sử dụng thuốc bảo vệ thực vật phải ghi rõ: Tên thuốc, hoạt chất, ngày sử dụng, liều lượng sử dụng. </w:t>
      </w:r>
    </w:p>
    <w:p w:rsidR="00A942C8" w:rsidRPr="00AD53DD" w:rsidRDefault="00A942C8" w:rsidP="00A942C8">
      <w:pPr>
        <w:spacing w:before="120" w:after="120"/>
        <w:ind w:firstLine="709"/>
        <w:rPr>
          <w:szCs w:val="28"/>
        </w:rPr>
      </w:pPr>
      <w:r w:rsidRPr="00AD53DD">
        <w:rPr>
          <w:szCs w:val="28"/>
        </w:rPr>
        <w:t>+ Các biện pháp phòng trừ sinh vật gây hại.</w:t>
      </w:r>
    </w:p>
    <w:p w:rsidR="00A942C8" w:rsidRPr="00AD53DD" w:rsidRDefault="00051C8F" w:rsidP="00A942C8">
      <w:pPr>
        <w:spacing w:before="120" w:after="120"/>
        <w:ind w:firstLine="709"/>
        <w:jc w:val="both"/>
        <w:rPr>
          <w:szCs w:val="28"/>
        </w:rPr>
      </w:pPr>
      <w:r>
        <w:rPr>
          <w:szCs w:val="28"/>
        </w:rPr>
        <w:t>+ Hồ sơ phải sẵn</w:t>
      </w:r>
      <w:bookmarkStart w:id="0" w:name="_GoBack"/>
      <w:bookmarkEnd w:id="0"/>
      <w:r w:rsidR="00A942C8" w:rsidRPr="00AD53DD">
        <w:rPr>
          <w:szCs w:val="28"/>
        </w:rPr>
        <w:t xml:space="preserve"> sàng cung cấp cho Tổng cục Hải quan Trung Quốc khi có yêu cầu.</w:t>
      </w:r>
    </w:p>
    <w:p w:rsidR="00A942C8" w:rsidRPr="00AD53DD" w:rsidRDefault="00A942C8" w:rsidP="00A942C8">
      <w:pPr>
        <w:spacing w:before="120" w:after="120"/>
        <w:ind w:firstLine="709"/>
        <w:jc w:val="both"/>
        <w:rPr>
          <w:b/>
          <w:szCs w:val="28"/>
        </w:rPr>
      </w:pPr>
      <w:r w:rsidRPr="00AD53DD">
        <w:rPr>
          <w:b/>
          <w:szCs w:val="28"/>
        </w:rPr>
        <w:t>4. Danh mục các đối tượng kiểm dịch thực vật mà phía Trung Quốc quan tâm</w:t>
      </w:r>
    </w:p>
    <w:p w:rsidR="00A942C8" w:rsidRPr="00AD53DD" w:rsidRDefault="00A942C8" w:rsidP="00A942C8">
      <w:pPr>
        <w:spacing w:before="120" w:after="120"/>
        <w:ind w:firstLine="709"/>
        <w:rPr>
          <w:szCs w:val="28"/>
        </w:rPr>
      </w:pPr>
      <w:r w:rsidRPr="00AD53DD">
        <w:rPr>
          <w:i/>
          <w:iCs/>
          <w:szCs w:val="28"/>
        </w:rPr>
        <w:t>1. Bactrocera correcta</w:t>
      </w:r>
      <w:r w:rsidRPr="00AD53DD">
        <w:rPr>
          <w:szCs w:val="28"/>
        </w:rPr>
        <w:t xml:space="preserve"> (Ruồi đục quả ổi/Ruồi đục quả chuyển màu)</w:t>
      </w:r>
    </w:p>
    <w:p w:rsidR="00A942C8" w:rsidRPr="00AD53DD" w:rsidRDefault="00A942C8" w:rsidP="00A942C8">
      <w:pPr>
        <w:widowControl w:val="0"/>
        <w:spacing w:before="120" w:after="120"/>
        <w:ind w:firstLine="709"/>
        <w:jc w:val="both"/>
        <w:rPr>
          <w:szCs w:val="28"/>
        </w:rPr>
      </w:pPr>
      <w:r w:rsidRPr="00AD53DD">
        <w:rPr>
          <w:i/>
          <w:iCs/>
          <w:szCs w:val="28"/>
        </w:rPr>
        <w:t>2. Citripestis sagittiferella</w:t>
      </w:r>
      <w:r w:rsidRPr="00AD53DD">
        <w:rPr>
          <w:szCs w:val="28"/>
        </w:rPr>
        <w:t xml:space="preserve"> (Sâu đục vỏ trái bưởi)</w:t>
      </w:r>
    </w:p>
    <w:p w:rsidR="00A942C8" w:rsidRPr="00AD53DD" w:rsidRDefault="00A942C8" w:rsidP="00A942C8">
      <w:pPr>
        <w:widowControl w:val="0"/>
        <w:spacing w:before="120" w:after="120"/>
        <w:ind w:firstLine="709"/>
        <w:jc w:val="both"/>
        <w:rPr>
          <w:szCs w:val="28"/>
        </w:rPr>
      </w:pPr>
      <w:r w:rsidRPr="00AD53DD">
        <w:rPr>
          <w:i/>
          <w:iCs/>
          <w:szCs w:val="28"/>
        </w:rPr>
        <w:t>3. Dysmicoccus neobrevipes</w:t>
      </w:r>
      <w:r w:rsidRPr="00AD53DD">
        <w:rPr>
          <w:szCs w:val="28"/>
        </w:rPr>
        <w:t xml:space="preserve"> (Rệp sáp dứa)</w:t>
      </w:r>
    </w:p>
    <w:p w:rsidR="00A942C8" w:rsidRPr="00AD53DD" w:rsidRDefault="00A942C8" w:rsidP="00A942C8">
      <w:pPr>
        <w:widowControl w:val="0"/>
        <w:spacing w:before="120" w:after="120"/>
        <w:ind w:firstLine="709"/>
        <w:jc w:val="both"/>
        <w:rPr>
          <w:szCs w:val="28"/>
        </w:rPr>
      </w:pPr>
      <w:r w:rsidRPr="00AD53DD">
        <w:rPr>
          <w:i/>
          <w:iCs/>
          <w:szCs w:val="28"/>
        </w:rPr>
        <w:t>4. Planococcus lilacinus</w:t>
      </w:r>
      <w:r w:rsidRPr="00AD53DD">
        <w:rPr>
          <w:szCs w:val="28"/>
        </w:rPr>
        <w:t xml:space="preserve"> (Rệp sáp giả)</w:t>
      </w:r>
    </w:p>
    <w:p w:rsidR="00A942C8" w:rsidRPr="00AD53DD" w:rsidRDefault="00A942C8" w:rsidP="00A942C8">
      <w:pPr>
        <w:widowControl w:val="0"/>
        <w:spacing w:before="120" w:after="120"/>
        <w:ind w:firstLine="709"/>
        <w:jc w:val="both"/>
        <w:rPr>
          <w:szCs w:val="28"/>
        </w:rPr>
      </w:pPr>
      <w:r w:rsidRPr="00AD53DD">
        <w:rPr>
          <w:i/>
          <w:iCs/>
          <w:szCs w:val="28"/>
        </w:rPr>
        <w:t>5. Planococcus minor</w:t>
      </w:r>
      <w:r w:rsidRPr="00AD53DD">
        <w:rPr>
          <w:szCs w:val="28"/>
        </w:rPr>
        <w:t xml:space="preserve"> (Rệp sáp hại đa thực)</w:t>
      </w:r>
    </w:p>
    <w:p w:rsidR="00A942C8" w:rsidRPr="00AD53DD" w:rsidRDefault="00A942C8" w:rsidP="00A942C8">
      <w:pPr>
        <w:widowControl w:val="0"/>
        <w:spacing w:before="120" w:after="120"/>
        <w:ind w:firstLine="709"/>
        <w:jc w:val="both"/>
        <w:rPr>
          <w:szCs w:val="28"/>
        </w:rPr>
      </w:pPr>
      <w:r w:rsidRPr="00AD53DD">
        <w:rPr>
          <w:i/>
          <w:iCs/>
          <w:szCs w:val="28"/>
        </w:rPr>
        <w:t>6. Prays citri</w:t>
      </w:r>
      <w:r w:rsidRPr="00AD53DD">
        <w:rPr>
          <w:szCs w:val="28"/>
        </w:rPr>
        <w:t xml:space="preserve"> (Sâu ăn hoa bưởi)</w:t>
      </w:r>
    </w:p>
    <w:p w:rsidR="00A942C8" w:rsidRPr="00AD53DD" w:rsidRDefault="00A942C8" w:rsidP="00A942C8">
      <w:pPr>
        <w:widowControl w:val="0"/>
        <w:spacing w:before="120" w:after="120"/>
        <w:ind w:firstLine="709"/>
        <w:jc w:val="both"/>
        <w:rPr>
          <w:szCs w:val="28"/>
        </w:rPr>
      </w:pPr>
      <w:r w:rsidRPr="00AD53DD">
        <w:rPr>
          <w:i/>
          <w:iCs/>
          <w:szCs w:val="28"/>
        </w:rPr>
        <w:t>7. Prays endocarpa</w:t>
      </w:r>
      <w:r w:rsidRPr="00AD53DD">
        <w:rPr>
          <w:szCs w:val="28"/>
        </w:rPr>
        <w:t xml:space="preserve"> (Sâu đục vỏ quả chanh)</w:t>
      </w:r>
    </w:p>
    <w:p w:rsidR="00A942C8" w:rsidRPr="00AD53DD" w:rsidRDefault="00A942C8" w:rsidP="00A942C8">
      <w:pPr>
        <w:spacing w:before="120" w:after="120"/>
        <w:ind w:firstLine="709"/>
        <w:jc w:val="both"/>
        <w:rPr>
          <w:szCs w:val="28"/>
        </w:rPr>
      </w:pPr>
      <w:r w:rsidRPr="00AD53DD">
        <w:rPr>
          <w:i/>
          <w:iCs/>
          <w:szCs w:val="28"/>
        </w:rPr>
        <w:t>8. Cylindrocarpon lichenicola</w:t>
      </w:r>
      <w:r w:rsidRPr="00AD53DD">
        <w:rPr>
          <w:szCs w:val="28"/>
        </w:rPr>
        <w:t xml:space="preserve"> (Nấm gây bệnh thối rễ/thân).</w:t>
      </w:r>
    </w:p>
    <w:p w:rsidR="00A942C8" w:rsidRPr="00AD53DD" w:rsidRDefault="00A942C8" w:rsidP="00A942C8">
      <w:pPr>
        <w:spacing w:before="120" w:after="120"/>
        <w:ind w:firstLine="709"/>
        <w:jc w:val="both"/>
        <w:rPr>
          <w:b/>
          <w:szCs w:val="28"/>
        </w:rPr>
      </w:pPr>
      <w:r w:rsidRPr="00AD53DD">
        <w:rPr>
          <w:b/>
          <w:szCs w:val="28"/>
        </w:rPr>
        <w:t>II. Yêu cầu kỹ thuật đối với cơ sở đóng gói</w:t>
      </w:r>
    </w:p>
    <w:p w:rsidR="00A942C8" w:rsidRPr="00AD53DD" w:rsidRDefault="00A942C8" w:rsidP="00A942C8">
      <w:pPr>
        <w:spacing w:before="120" w:after="120"/>
        <w:ind w:firstLine="709"/>
        <w:jc w:val="both"/>
        <w:rPr>
          <w:b/>
          <w:szCs w:val="28"/>
        </w:rPr>
      </w:pPr>
      <w:r w:rsidRPr="00AD53DD">
        <w:rPr>
          <w:b/>
          <w:szCs w:val="28"/>
        </w:rPr>
        <w:t xml:space="preserve">- </w:t>
      </w:r>
      <w:r w:rsidRPr="00AD53DD">
        <w:rPr>
          <w:szCs w:val="28"/>
        </w:rPr>
        <w:t xml:space="preserve">Quy trình chế biến, đóng gói, bảo quản và vận chuyển phải được giám sát bởi cơ quan chuyên môn hoặc cán bộ được ủy quyền theo quy định. </w:t>
      </w:r>
    </w:p>
    <w:p w:rsidR="00A942C8" w:rsidRPr="00AD53DD" w:rsidRDefault="00A942C8" w:rsidP="00A942C8">
      <w:pPr>
        <w:spacing w:before="120" w:after="120"/>
        <w:ind w:firstLine="709"/>
        <w:jc w:val="both"/>
        <w:rPr>
          <w:szCs w:val="28"/>
        </w:rPr>
      </w:pPr>
      <w:r w:rsidRPr="00AD53DD">
        <w:rPr>
          <w:b/>
          <w:szCs w:val="28"/>
        </w:rPr>
        <w:t xml:space="preserve">- </w:t>
      </w:r>
      <w:r w:rsidRPr="00AD53DD">
        <w:rPr>
          <w:szCs w:val="28"/>
        </w:rPr>
        <w:t xml:space="preserve">Cơ sở đóng gói phải có nền cứng, bảo đảm sạch sẽ, hợp vệ sinh; có khu chứa nguyên liệu và kho thành phẩm riêng biệt. </w:t>
      </w:r>
    </w:p>
    <w:p w:rsidR="00A942C8" w:rsidRPr="00AD53DD" w:rsidRDefault="00A942C8" w:rsidP="00A942C8">
      <w:pPr>
        <w:spacing w:before="120" w:after="120"/>
        <w:ind w:firstLine="709"/>
        <w:jc w:val="both"/>
        <w:rPr>
          <w:szCs w:val="28"/>
        </w:rPr>
      </w:pPr>
      <w:r w:rsidRPr="00AD53DD">
        <w:rPr>
          <w:szCs w:val="28"/>
        </w:rPr>
        <w:t xml:space="preserve">- Các khu vực chế biến, xử lý, bảo quản phải được bố trí hợp lý, tách biệt với khu sinh hoạt nhằm hạn chế nguy cơ lây nhiễm sinh vật gây hại. </w:t>
      </w:r>
    </w:p>
    <w:p w:rsidR="00A942C8" w:rsidRPr="00AD53DD" w:rsidRDefault="00A942C8" w:rsidP="00A942C8">
      <w:pPr>
        <w:spacing w:before="120" w:after="120"/>
        <w:ind w:firstLine="709"/>
        <w:jc w:val="both"/>
        <w:rPr>
          <w:szCs w:val="28"/>
        </w:rPr>
      </w:pPr>
      <w:r w:rsidRPr="00AD53DD">
        <w:rPr>
          <w:szCs w:val="28"/>
        </w:rPr>
        <w:t xml:space="preserve">- Trong quá trình đóng gói phải thực hiện lựa chọn, phân loại và làm sạch sản phẩm; loại bỏ quả sâu bệnh, thối hỏng, biến dạng; loại bỏ lá, cành, đất và tàn dư thực vật. </w:t>
      </w:r>
    </w:p>
    <w:p w:rsidR="00A942C8" w:rsidRPr="00AD53DD" w:rsidRDefault="00A942C8" w:rsidP="00A942C8">
      <w:pPr>
        <w:spacing w:before="120" w:after="120"/>
        <w:ind w:firstLine="709"/>
        <w:jc w:val="both"/>
        <w:rPr>
          <w:szCs w:val="28"/>
        </w:rPr>
      </w:pPr>
      <w:r w:rsidRPr="00AD53DD">
        <w:rPr>
          <w:szCs w:val="28"/>
        </w:rPr>
        <w:t xml:space="preserve">- Bao bì đóng gói phải sạch, mới, chưa qua sử dụng và đáp ứng yêu cầu kiểm dịch thực vật của Trung Quốc. </w:t>
      </w:r>
    </w:p>
    <w:p w:rsidR="00A942C8" w:rsidRPr="00AD53DD" w:rsidRDefault="00A942C8" w:rsidP="00A942C8">
      <w:pPr>
        <w:spacing w:before="120" w:after="120"/>
        <w:ind w:firstLine="709"/>
        <w:jc w:val="both"/>
        <w:rPr>
          <w:szCs w:val="28"/>
        </w:rPr>
      </w:pPr>
      <w:r w:rsidRPr="00AD53DD">
        <w:rPr>
          <w:szCs w:val="28"/>
        </w:rPr>
        <w:t xml:space="preserve">- Cơ sở đóng gói phải xây dựng hệ thống truy xuất nguồn gốc; lưu giữ đầy đủ hồ sơ về chế biến, đóng gói, xuất khẩu để phục vụ kiểm tra, giám sát. </w:t>
      </w:r>
    </w:p>
    <w:p w:rsidR="00A942C8" w:rsidRPr="00AD53DD" w:rsidRDefault="00A942C8" w:rsidP="00A942C8">
      <w:pPr>
        <w:spacing w:before="120" w:after="120"/>
        <w:ind w:left="360" w:firstLine="360"/>
        <w:rPr>
          <w:rStyle w:val="fontstyle01"/>
          <w:b/>
        </w:rPr>
      </w:pPr>
      <w:r w:rsidRPr="00AD53DD">
        <w:rPr>
          <w:rStyle w:val="fontstyle01"/>
          <w:b/>
        </w:rPr>
        <w:t>III.</w:t>
      </w:r>
      <w:r w:rsidRPr="00AD53DD">
        <w:rPr>
          <w:rStyle w:val="fontstyle01"/>
        </w:rPr>
        <w:t xml:space="preserve"> </w:t>
      </w:r>
      <w:r w:rsidRPr="00AD53DD">
        <w:rPr>
          <w:rStyle w:val="fontstyle01"/>
          <w:b/>
        </w:rPr>
        <w:t xml:space="preserve">Đăng ký vùng </w:t>
      </w:r>
      <w:r w:rsidR="00051C8F">
        <w:rPr>
          <w:rStyle w:val="fontstyle01"/>
          <w:b/>
        </w:rPr>
        <w:t>trồng, cơ sở đóng gói xuất khẩu</w:t>
      </w:r>
    </w:p>
    <w:p w:rsidR="00A942C8" w:rsidRPr="00AD53DD" w:rsidRDefault="00A942C8" w:rsidP="00A942C8">
      <w:pPr>
        <w:spacing w:before="120" w:after="120"/>
        <w:ind w:firstLine="720"/>
        <w:jc w:val="both"/>
        <w:rPr>
          <w:color w:val="000000"/>
          <w:szCs w:val="28"/>
        </w:rPr>
      </w:pPr>
      <w:r w:rsidRPr="00AD53DD">
        <w:rPr>
          <w:rStyle w:val="fontstyle01"/>
        </w:rPr>
        <w:t xml:space="preserve">Các vùng trồng, cơ sở đóng gói bưởi, chanh trên địa bàn tỉnh có nhu cầu xuất khẩu quả bưởi, chanh tươi sang thị trường Trung Quốc đăng ký với Chi cục </w:t>
      </w:r>
      <w:r w:rsidRPr="00AD53DD">
        <w:rPr>
          <w:rStyle w:val="fontstyle01"/>
        </w:rPr>
        <w:lastRenderedPageBreak/>
        <w:t xml:space="preserve">Trồng trọt và Bảo vệ thực vật tỉnh Tuyên Quang để cấp mã số vùng trồng, cơ sở đóng gói xuất khẩu. Sau khi vùng trồng, cơ sở đóng gói được cấp mã số, Chi cục Trồng trọt và Bảo vệ thực vật báo cáo các thông tin về vùng trồng, cơ sở đóng gói để Cục Trồng trọt và Bảo vệ thực vật gửi Tổng cục Hải quan Trung Quốc phê duyệt, sau khi được phê duyệt thì được xuất khẩu. Danh sách vùng trồng, cơ sở đóng gói được cấp mã số sẽ được công bố trên website của Tổng cục Hải quan Trung Quốc. </w:t>
      </w:r>
    </w:p>
    <w:p w:rsidR="00A942C8" w:rsidRPr="00AD53DD" w:rsidRDefault="00A942C8" w:rsidP="00A942C8">
      <w:pPr>
        <w:spacing w:before="120" w:after="120"/>
        <w:ind w:firstLine="720"/>
        <w:jc w:val="both"/>
        <w:rPr>
          <w:rStyle w:val="fontstyle21"/>
          <w:rFonts w:ascii="Times New Roman" w:hAnsi="Times New Roman"/>
          <w:sz w:val="28"/>
          <w:szCs w:val="28"/>
        </w:rPr>
      </w:pPr>
      <w:r w:rsidRPr="00AD53DD">
        <w:rPr>
          <w:szCs w:val="28"/>
        </w:rPr>
        <w:t>(</w:t>
      </w:r>
      <w:r w:rsidRPr="00AD53DD">
        <w:rPr>
          <w:i/>
          <w:szCs w:val="28"/>
        </w:rPr>
        <w:t>Chi tiết</w:t>
      </w:r>
      <w:r w:rsidRPr="00AD53DD">
        <w:rPr>
          <w:szCs w:val="28"/>
        </w:rPr>
        <w:t xml:space="preserve"> </w:t>
      </w:r>
      <w:r w:rsidRPr="00AD53DD">
        <w:rPr>
          <w:rStyle w:val="fontstyle21"/>
          <w:rFonts w:ascii="Times New Roman" w:hAnsi="Times New Roman"/>
          <w:i/>
          <w:sz w:val="28"/>
          <w:szCs w:val="28"/>
        </w:rPr>
        <w:t xml:space="preserve">có Nghị định thư về </w:t>
      </w:r>
      <w:r w:rsidRPr="00AD53DD">
        <w:rPr>
          <w:i/>
          <w:szCs w:val="28"/>
        </w:rPr>
        <w:t>yêu cầu kiểm dịch thực vật đối với xuất khẩu bưởi và chanh tươi từ Việt Nam sang Trung Quốc giữa Bộ Nông nghiệp và Môi trường nước Cộng hòa xã hội chủ nghĩa Việt Nam và Tổng cục Hải quan nước Cộng hòa nhân dân Trung Hoa và tài liệu kỹ thuật hướng dẫn xuất khẩu quả bưởi tươi, chanh tươi từ Việt Nam sang thị trường Trung Quốc kèm theo).</w:t>
      </w:r>
    </w:p>
    <w:p w:rsidR="00A942C8" w:rsidRPr="00AD53DD" w:rsidRDefault="00A942C8" w:rsidP="00A942C8">
      <w:pPr>
        <w:spacing w:before="120"/>
        <w:ind w:firstLine="709"/>
        <w:jc w:val="both"/>
        <w:rPr>
          <w:szCs w:val="28"/>
        </w:rPr>
      </w:pPr>
      <w:r w:rsidRPr="00AD53DD">
        <w:rPr>
          <w:noProof/>
          <w:szCs w:val="28"/>
        </w:rPr>
        <mc:AlternateContent>
          <mc:Choice Requires="wps">
            <w:drawing>
              <wp:anchor distT="0" distB="0" distL="114300" distR="114300" simplePos="0" relativeHeight="251659264" behindDoc="0" locked="0" layoutInCell="1" allowOverlap="1" wp14:anchorId="2CC2255C" wp14:editId="2F1FF6F7">
                <wp:simplePos x="0" y="0"/>
                <wp:positionH relativeFrom="column">
                  <wp:posOffset>1568205</wp:posOffset>
                </wp:positionH>
                <wp:positionV relativeFrom="paragraph">
                  <wp:posOffset>7620</wp:posOffset>
                </wp:positionV>
                <wp:extent cx="2502877" cy="5862"/>
                <wp:effectExtent l="0" t="0" r="31115" b="32385"/>
                <wp:wrapNone/>
                <wp:docPr id="1" name="Straight Connector 1"/>
                <wp:cNvGraphicFramePr/>
                <a:graphic xmlns:a="http://schemas.openxmlformats.org/drawingml/2006/main">
                  <a:graphicData uri="http://schemas.microsoft.com/office/word/2010/wordprocessingShape">
                    <wps:wsp>
                      <wps:cNvCnPr/>
                      <wps:spPr>
                        <a:xfrm>
                          <a:off x="0" y="0"/>
                          <a:ext cx="2502877"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05081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3.5pt,.6pt" to="320.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" strokecolor="black [3200]" strokeweight=".5pt">
                <v:stroke joinstyle="miter"/>
              </v:line>
            </w:pict>
          </mc:Fallback>
        </mc:AlternateContent>
      </w:r>
    </w:p>
    <w:p w:rsidR="00A942C8" w:rsidRPr="00AD53DD" w:rsidRDefault="00A942C8" w:rsidP="00A942C8">
      <w:pPr>
        <w:spacing w:before="120"/>
        <w:ind w:firstLine="709"/>
        <w:jc w:val="both"/>
        <w:rPr>
          <w:szCs w:val="28"/>
        </w:rPr>
      </w:pPr>
    </w:p>
    <w:p w:rsidR="00DE38A4" w:rsidRPr="00AD53DD" w:rsidRDefault="00DE38A4">
      <w:pPr>
        <w:rPr>
          <w:szCs w:val="28"/>
        </w:rPr>
      </w:pPr>
    </w:p>
    <w:sectPr w:rsidR="00DE38A4" w:rsidRPr="00AD53DD" w:rsidSect="00A942C8">
      <w:headerReference w:type="default" r:id="rId4"/>
      <w:footerReference w:type="even" r:id="rId5"/>
      <w:footerReference w:type="default" r:id="rId6"/>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1">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8A4" w:rsidRDefault="00DE38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38A4" w:rsidRDefault="00DE38A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8A4" w:rsidRDefault="00DE38A4">
    <w:pPr>
      <w:pStyle w:val="Footer"/>
      <w:framePr w:wrap="around" w:vAnchor="text" w:hAnchor="margin" w:xAlign="right" w:y="1"/>
      <w:rPr>
        <w:rStyle w:val="PageNumber"/>
      </w:rPr>
    </w:pPr>
  </w:p>
  <w:p w:rsidR="00DE38A4" w:rsidRDefault="00DE38A4">
    <w:pPr>
      <w:pStyle w:val="Footer"/>
      <w:ind w:right="360"/>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8A4" w:rsidRDefault="00DE38A4" w:rsidP="00DE38A4">
    <w:pPr>
      <w:pStyle w:val="Header"/>
      <w:jc w:val="center"/>
    </w:pPr>
    <w:r>
      <w:fldChar w:fldCharType="begin"/>
    </w:r>
    <w:r>
      <w:instrText>PAGE   \* MERGEFORMAT</w:instrText>
    </w:r>
    <w:r>
      <w:fldChar w:fldCharType="separate"/>
    </w:r>
    <w:r w:rsidR="00051C8F" w:rsidRPr="00051C8F">
      <w:rPr>
        <w:noProof/>
        <w:lang w:val="vi-VN"/>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2C8"/>
    <w:rsid w:val="00051C8F"/>
    <w:rsid w:val="00620E3A"/>
    <w:rsid w:val="008C4B92"/>
    <w:rsid w:val="009B66FD"/>
    <w:rsid w:val="009C413D"/>
    <w:rsid w:val="00A942C8"/>
    <w:rsid w:val="00AD53DD"/>
    <w:rsid w:val="00C76D9A"/>
    <w:rsid w:val="00D235AD"/>
    <w:rsid w:val="00DE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2D3E"/>
  <w15:chartTrackingRefBased/>
  <w15:docId w15:val="{3E459FD8-320E-4080-91C6-204D318F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2C8"/>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942C8"/>
    <w:pPr>
      <w:tabs>
        <w:tab w:val="center" w:pos="4320"/>
        <w:tab w:val="right" w:pos="8640"/>
      </w:tabs>
    </w:pPr>
    <w:rPr>
      <w:szCs w:val="28"/>
    </w:rPr>
  </w:style>
  <w:style w:type="character" w:customStyle="1" w:styleId="FooterChar">
    <w:name w:val="Footer Char"/>
    <w:basedOn w:val="DefaultParagraphFont"/>
    <w:link w:val="Footer"/>
    <w:rsid w:val="00A942C8"/>
    <w:rPr>
      <w:rFonts w:ascii="Times New Roman" w:eastAsia="Times New Roman" w:hAnsi="Times New Roman" w:cs="Times New Roman"/>
      <w:sz w:val="28"/>
      <w:szCs w:val="28"/>
    </w:rPr>
  </w:style>
  <w:style w:type="character" w:styleId="PageNumber">
    <w:name w:val="page number"/>
    <w:basedOn w:val="DefaultParagraphFont"/>
    <w:rsid w:val="00A942C8"/>
  </w:style>
  <w:style w:type="paragraph" w:styleId="Header">
    <w:name w:val="header"/>
    <w:basedOn w:val="Normal"/>
    <w:link w:val="HeaderChar"/>
    <w:uiPriority w:val="99"/>
    <w:rsid w:val="00A942C8"/>
    <w:pPr>
      <w:tabs>
        <w:tab w:val="center" w:pos="4320"/>
        <w:tab w:val="right" w:pos="8640"/>
      </w:tabs>
    </w:pPr>
  </w:style>
  <w:style w:type="character" w:customStyle="1" w:styleId="HeaderChar">
    <w:name w:val="Header Char"/>
    <w:basedOn w:val="DefaultParagraphFont"/>
    <w:link w:val="Header"/>
    <w:uiPriority w:val="99"/>
    <w:rsid w:val="00A942C8"/>
    <w:rPr>
      <w:rFonts w:ascii="Times New Roman" w:eastAsia="Times New Roman" w:hAnsi="Times New Roman" w:cs="Times New Roman"/>
      <w:sz w:val="28"/>
      <w:szCs w:val="24"/>
    </w:rPr>
  </w:style>
  <w:style w:type="character" w:customStyle="1" w:styleId="fontstyle01">
    <w:name w:val="fontstyle01"/>
    <w:rsid w:val="00A942C8"/>
    <w:rPr>
      <w:rFonts w:ascii="Times New Roman" w:hAnsi="Times New Roman" w:cs="Times New Roman" w:hint="default"/>
      <w:b w:val="0"/>
      <w:bCs w:val="0"/>
      <w:i w:val="0"/>
      <w:iCs w:val="0"/>
      <w:color w:val="000000"/>
      <w:sz w:val="28"/>
      <w:szCs w:val="28"/>
    </w:rPr>
  </w:style>
  <w:style w:type="character" w:customStyle="1" w:styleId="fontstyle21">
    <w:name w:val="fontstyle21"/>
    <w:rsid w:val="00A942C8"/>
    <w:rPr>
      <w:rFonts w:ascii="CIDFont+F1" w:hAnsi="CIDFont+F1"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891</TotalTime>
  <Pages>3</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5</cp:revision>
  <dcterms:created xsi:type="dcterms:W3CDTF">2026-05-21T09:53:00Z</dcterms:created>
  <dcterms:modified xsi:type="dcterms:W3CDTF">2026-05-22T01:24:00Z</dcterms:modified>
</cp:coreProperties>
</file>