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CellMar>
          <w:left w:w="0" w:type="dxa"/>
          <w:right w:w="0" w:type="dxa"/>
        </w:tblCellMar>
        <w:tblLook w:val="04A0" w:firstRow="1" w:lastRow="0" w:firstColumn="1" w:lastColumn="0" w:noHBand="0" w:noVBand="1"/>
      </w:tblPr>
      <w:tblGrid>
        <w:gridCol w:w="3793"/>
        <w:gridCol w:w="5675"/>
      </w:tblGrid>
      <w:tr w:rsidR="00BD354C" w:rsidRPr="00BD354C" w14:paraId="49261082" w14:textId="77777777" w:rsidTr="000555A2">
        <w:trPr>
          <w:trHeight w:val="713"/>
        </w:trPr>
        <w:tc>
          <w:tcPr>
            <w:tcW w:w="3793" w:type="dxa"/>
            <w:tcMar>
              <w:top w:w="0" w:type="dxa"/>
              <w:left w:w="108" w:type="dxa"/>
              <w:bottom w:w="0" w:type="dxa"/>
              <w:right w:w="108" w:type="dxa"/>
            </w:tcMar>
            <w:hideMark/>
          </w:tcPr>
          <w:p w14:paraId="057BBA6A" w14:textId="77777777" w:rsidR="000555A2" w:rsidRPr="00BD354C" w:rsidRDefault="000555A2">
            <w:pPr>
              <w:spacing w:line="276" w:lineRule="auto"/>
              <w:jc w:val="center"/>
              <w:rPr>
                <w:bCs/>
                <w:sz w:val="26"/>
                <w:szCs w:val="26"/>
              </w:rPr>
            </w:pPr>
            <w:r w:rsidRPr="00BD354C">
              <w:rPr>
                <w:bCs/>
                <w:sz w:val="26"/>
                <w:szCs w:val="26"/>
              </w:rPr>
              <w:t>UBND TỈNH TUYÊN QUANG</w:t>
            </w:r>
          </w:p>
          <w:p w14:paraId="76AB262F" w14:textId="588DD9C0" w:rsidR="000555A2" w:rsidRPr="00BD354C" w:rsidRDefault="000555A2">
            <w:pPr>
              <w:spacing w:line="276" w:lineRule="auto"/>
              <w:jc w:val="center"/>
              <w:rPr>
                <w:b/>
                <w:bCs/>
                <w:sz w:val="26"/>
                <w:szCs w:val="26"/>
              </w:rPr>
            </w:pPr>
            <w:r w:rsidRPr="00BD354C">
              <w:rPr>
                <w:noProof/>
              </w:rPr>
              <mc:AlternateContent>
                <mc:Choice Requires="wps">
                  <w:drawing>
                    <wp:anchor distT="4294967295" distB="4294967295" distL="114300" distR="114300" simplePos="0" relativeHeight="251658752" behindDoc="0" locked="0" layoutInCell="1" allowOverlap="1" wp14:anchorId="3E0E18CD" wp14:editId="197D88FD">
                      <wp:simplePos x="0" y="0"/>
                      <wp:positionH relativeFrom="column">
                        <wp:posOffset>819785</wp:posOffset>
                      </wp:positionH>
                      <wp:positionV relativeFrom="paragraph">
                        <wp:posOffset>207315</wp:posOffset>
                      </wp:positionV>
                      <wp:extent cx="622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5ACE311A"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16.3pt" to="11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" filled="t">
                      <o:lock v:ext="edit" shapetype="f"/>
                    </v:line>
                  </w:pict>
                </mc:Fallback>
              </mc:AlternateContent>
            </w:r>
            <w:r w:rsidRPr="00BD354C">
              <w:rPr>
                <w:b/>
                <w:bCs/>
                <w:sz w:val="26"/>
                <w:szCs w:val="26"/>
              </w:rPr>
              <w:t xml:space="preserve">SỞ </w:t>
            </w:r>
            <w:r w:rsidR="00FC0114" w:rsidRPr="00BD354C">
              <w:rPr>
                <w:b/>
                <w:bCs/>
                <w:sz w:val="26"/>
                <w:szCs w:val="26"/>
              </w:rPr>
              <w:t>NỘI VỤ</w:t>
            </w:r>
          </w:p>
        </w:tc>
        <w:tc>
          <w:tcPr>
            <w:tcW w:w="5675" w:type="dxa"/>
            <w:tcMar>
              <w:top w:w="0" w:type="dxa"/>
              <w:left w:w="108" w:type="dxa"/>
              <w:bottom w:w="0" w:type="dxa"/>
              <w:right w:w="108" w:type="dxa"/>
            </w:tcMar>
            <w:hideMark/>
          </w:tcPr>
          <w:p w14:paraId="1EE4C353" w14:textId="4C880751" w:rsidR="000555A2" w:rsidRPr="00BD354C" w:rsidRDefault="000555A2">
            <w:pPr>
              <w:spacing w:line="276" w:lineRule="auto"/>
              <w:jc w:val="center"/>
              <w:rPr>
                <w:sz w:val="26"/>
                <w:szCs w:val="26"/>
              </w:rPr>
            </w:pPr>
            <w:r w:rsidRPr="00BD354C">
              <w:rPr>
                <w:noProof/>
              </w:rPr>
              <mc:AlternateContent>
                <mc:Choice Requires="wps">
                  <w:drawing>
                    <wp:anchor distT="0" distB="0" distL="114300" distR="114300" simplePos="0" relativeHeight="251657728" behindDoc="0" locked="0" layoutInCell="1" allowOverlap="1" wp14:anchorId="3DDA3542" wp14:editId="68FF4414">
                      <wp:simplePos x="0" y="0"/>
                      <wp:positionH relativeFrom="column">
                        <wp:posOffset>849961</wp:posOffset>
                      </wp:positionH>
                      <wp:positionV relativeFrom="paragraph">
                        <wp:posOffset>440055</wp:posOffset>
                      </wp:positionV>
                      <wp:extent cx="1819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A7255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4.65pt" to="210.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1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" strokecolor="black [3040]"/>
                  </w:pict>
                </mc:Fallback>
              </mc:AlternateContent>
            </w:r>
            <w:r w:rsidRPr="00BD354C">
              <w:rPr>
                <w:b/>
                <w:bCs/>
                <w:sz w:val="26"/>
                <w:szCs w:val="26"/>
              </w:rPr>
              <w:t>CỘNG HÒA XÃ HỘI CHỦ NGHĨA VIỆT NAM</w:t>
            </w:r>
            <w:r w:rsidRPr="00BD354C">
              <w:rPr>
                <w:b/>
                <w:bCs/>
                <w:sz w:val="26"/>
                <w:szCs w:val="26"/>
              </w:rPr>
              <w:br/>
              <w:t>Độc lập - Tự do - Hạnh phúc</w:t>
            </w:r>
            <w:r w:rsidRPr="00BD354C">
              <w:rPr>
                <w:b/>
                <w:bCs/>
                <w:sz w:val="26"/>
                <w:szCs w:val="26"/>
              </w:rPr>
              <w:br/>
            </w:r>
          </w:p>
        </w:tc>
      </w:tr>
      <w:tr w:rsidR="009A2322" w:rsidRPr="00BD354C" w14:paraId="6C425AE2" w14:textId="77777777" w:rsidTr="000555A2">
        <w:tc>
          <w:tcPr>
            <w:tcW w:w="3793" w:type="dxa"/>
            <w:tcMar>
              <w:top w:w="0" w:type="dxa"/>
              <w:left w:w="108" w:type="dxa"/>
              <w:bottom w:w="0" w:type="dxa"/>
              <w:right w:w="108" w:type="dxa"/>
            </w:tcMar>
            <w:vAlign w:val="center"/>
          </w:tcPr>
          <w:p w14:paraId="54541E65" w14:textId="085D737F" w:rsidR="000555A2" w:rsidRPr="00BD354C" w:rsidRDefault="000555A2">
            <w:pPr>
              <w:spacing w:line="276" w:lineRule="auto"/>
              <w:jc w:val="center"/>
            </w:pPr>
            <w:r w:rsidRPr="00BD354C">
              <w:t>Số:</w:t>
            </w:r>
            <w:r w:rsidR="00583409" w:rsidRPr="00BD354C">
              <w:t xml:space="preserve"> </w:t>
            </w:r>
            <w:r w:rsidR="0097657A" w:rsidRPr="00BD354C">
              <w:t xml:space="preserve">       </w:t>
            </w:r>
            <w:r w:rsidRPr="00BD354C">
              <w:t>/TTr-</w:t>
            </w:r>
            <w:r w:rsidR="001528F2" w:rsidRPr="00BD354C">
              <w:t>SNV</w:t>
            </w:r>
          </w:p>
          <w:p w14:paraId="3A1EFA5C" w14:textId="674B28C4" w:rsidR="000555A2" w:rsidRPr="00BD354C" w:rsidRDefault="0097657A">
            <w:pPr>
              <w:spacing w:line="276" w:lineRule="auto"/>
              <w:jc w:val="center"/>
            </w:pPr>
            <w:r w:rsidRPr="00BD354C">
              <w:rPr>
                <w:noProof/>
              </w:rPr>
              <mc:AlternateContent>
                <mc:Choice Requires="wps">
                  <w:drawing>
                    <wp:anchor distT="0" distB="0" distL="114300" distR="114300" simplePos="0" relativeHeight="251659776" behindDoc="0" locked="0" layoutInCell="1" allowOverlap="1" wp14:anchorId="4967D533" wp14:editId="1A18AD5C">
                      <wp:simplePos x="0" y="0"/>
                      <wp:positionH relativeFrom="column">
                        <wp:posOffset>432435</wp:posOffset>
                      </wp:positionH>
                      <wp:positionV relativeFrom="paragraph">
                        <wp:posOffset>42545</wp:posOffset>
                      </wp:positionV>
                      <wp:extent cx="1266825" cy="387985"/>
                      <wp:effectExtent l="0" t="0" r="28575" b="12065"/>
                      <wp:wrapNone/>
                      <wp:docPr id="685587414" name="Rectangle 1"/>
                      <wp:cNvGraphicFramePr/>
                      <a:graphic xmlns:a="http://schemas.openxmlformats.org/drawingml/2006/main">
                        <a:graphicData uri="http://schemas.microsoft.com/office/word/2010/wordprocessingShape">
                          <wps:wsp>
                            <wps:cNvSpPr/>
                            <wps:spPr>
                              <a:xfrm>
                                <a:off x="0" y="0"/>
                                <a:ext cx="1266825" cy="387985"/>
                              </a:xfrm>
                              <a:prstGeom prst="rect">
                                <a:avLst/>
                              </a:prstGeom>
                            </wps:spPr>
                            <wps:style>
                              <a:lnRef idx="2">
                                <a:schemeClr val="dk1"/>
                              </a:lnRef>
                              <a:fillRef idx="1">
                                <a:schemeClr val="lt1"/>
                              </a:fillRef>
                              <a:effectRef idx="0">
                                <a:schemeClr val="dk1"/>
                              </a:effectRef>
                              <a:fontRef idx="minor">
                                <a:schemeClr val="dk1"/>
                              </a:fontRef>
                            </wps:style>
                            <wps:txbx>
                              <w:txbxContent>
                                <w:p w14:paraId="7A90A065" w14:textId="3FE00EE8" w:rsidR="0097657A" w:rsidRPr="0097657A" w:rsidRDefault="0097657A" w:rsidP="0097657A">
                                  <w:pPr>
                                    <w:jc w:val="center"/>
                                    <w:rPr>
                                      <w:b/>
                                      <w:bCs/>
                                    </w:rPr>
                                  </w:pPr>
                                  <w:r w:rsidRPr="0097657A">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D533" id="Rectangle 1" o:spid="_x0000_s1026" style="position:absolute;left:0;text-align:left;margin-left:34.05pt;margin-top:3.35pt;width:99.75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" fillcolor="white [3201]" strokecolor="black [3200]" strokeweight="2pt">
                      <v:textbox>
                        <w:txbxContent>
                          <w:p w14:paraId="7A90A065" w14:textId="3FE00EE8" w:rsidR="0097657A" w:rsidRPr="0097657A" w:rsidRDefault="0097657A" w:rsidP="0097657A">
                            <w:pPr>
                              <w:jc w:val="center"/>
                              <w:rPr>
                                <w:b/>
                                <w:bCs/>
                              </w:rPr>
                            </w:pPr>
                            <w:r w:rsidRPr="0097657A">
                              <w:rPr>
                                <w:b/>
                                <w:bCs/>
                              </w:rPr>
                              <w:t>DỰ THẢO</w:t>
                            </w:r>
                          </w:p>
                        </w:txbxContent>
                      </v:textbox>
                    </v:rect>
                  </w:pict>
                </mc:Fallback>
              </mc:AlternateContent>
            </w:r>
          </w:p>
        </w:tc>
        <w:tc>
          <w:tcPr>
            <w:tcW w:w="5675" w:type="dxa"/>
            <w:tcMar>
              <w:top w:w="0" w:type="dxa"/>
              <w:left w:w="108" w:type="dxa"/>
              <w:bottom w:w="0" w:type="dxa"/>
              <w:right w:w="108" w:type="dxa"/>
            </w:tcMar>
            <w:hideMark/>
          </w:tcPr>
          <w:p w14:paraId="517763F4" w14:textId="0ED02A99" w:rsidR="000555A2" w:rsidRPr="00BD354C" w:rsidRDefault="000555A2">
            <w:pPr>
              <w:spacing w:line="276" w:lineRule="auto"/>
              <w:ind w:hanging="154"/>
              <w:jc w:val="center"/>
            </w:pPr>
            <w:r w:rsidRPr="00BD354C">
              <w:rPr>
                <w:i/>
                <w:iCs/>
              </w:rPr>
              <w:t xml:space="preserve"> Tuyên Quang, ngày </w:t>
            </w:r>
            <w:r w:rsidR="0097657A" w:rsidRPr="00BD354C">
              <w:rPr>
                <w:i/>
                <w:iCs/>
              </w:rPr>
              <w:t xml:space="preserve">    </w:t>
            </w:r>
            <w:r w:rsidRPr="00BD354C">
              <w:rPr>
                <w:i/>
                <w:iCs/>
              </w:rPr>
              <w:t xml:space="preserve"> tháng </w:t>
            </w:r>
            <w:r w:rsidR="0097657A" w:rsidRPr="00BD354C">
              <w:rPr>
                <w:i/>
                <w:iCs/>
              </w:rPr>
              <w:t xml:space="preserve">   </w:t>
            </w:r>
            <w:r w:rsidRPr="00BD354C">
              <w:rPr>
                <w:i/>
                <w:iCs/>
              </w:rPr>
              <w:t xml:space="preserve"> năm 202</w:t>
            </w:r>
            <w:r w:rsidR="0097657A" w:rsidRPr="00BD354C">
              <w:rPr>
                <w:i/>
                <w:iCs/>
              </w:rPr>
              <w:t>6</w:t>
            </w:r>
          </w:p>
        </w:tc>
      </w:tr>
    </w:tbl>
    <w:p w14:paraId="0FC25E8F" w14:textId="77777777" w:rsidR="0097657A" w:rsidRPr="00BD354C" w:rsidRDefault="0097657A" w:rsidP="00E616EE">
      <w:pPr>
        <w:spacing w:line="351" w:lineRule="exact"/>
        <w:rPr>
          <w:b/>
        </w:rPr>
      </w:pPr>
    </w:p>
    <w:p w14:paraId="117B7F39" w14:textId="11A8B207" w:rsidR="000555A2" w:rsidRPr="00BD354C" w:rsidRDefault="000555A2" w:rsidP="00E616EE">
      <w:pPr>
        <w:jc w:val="center"/>
        <w:rPr>
          <w:b/>
        </w:rPr>
      </w:pPr>
      <w:r w:rsidRPr="00BD354C">
        <w:rPr>
          <w:b/>
        </w:rPr>
        <w:t>TỜ TRÌNH</w:t>
      </w:r>
    </w:p>
    <w:p w14:paraId="7FCE9DBF" w14:textId="1235201F" w:rsidR="00FC0114" w:rsidRPr="00BD354C" w:rsidRDefault="0074541D" w:rsidP="00E97108">
      <w:pPr>
        <w:spacing w:line="351" w:lineRule="exact"/>
        <w:jc w:val="center"/>
        <w:rPr>
          <w:b/>
          <w:spacing w:val="4"/>
        </w:rPr>
      </w:pPr>
      <w:r w:rsidRPr="00BD354C">
        <w:rPr>
          <w:b/>
          <w:spacing w:val="4"/>
        </w:rPr>
        <w:t xml:space="preserve">Dự thảo </w:t>
      </w:r>
      <w:r w:rsidR="00FC0114" w:rsidRPr="00BD354C">
        <w:rPr>
          <w:b/>
          <w:spacing w:val="4"/>
        </w:rPr>
        <w:t>Nghị quyết</w:t>
      </w:r>
      <w:r w:rsidRPr="00BD354C">
        <w:rPr>
          <w:b/>
          <w:spacing w:val="4"/>
        </w:rPr>
        <w:t xml:space="preserve"> </w:t>
      </w:r>
      <w:r w:rsidR="00B24ED3" w:rsidRPr="00BD354C">
        <w:rPr>
          <w:b/>
          <w:spacing w:val="4"/>
        </w:rPr>
        <w:t>b</w:t>
      </w:r>
      <w:r w:rsidR="0097657A" w:rsidRPr="00BD354C">
        <w:rPr>
          <w:b/>
          <w:spacing w:val="4"/>
        </w:rPr>
        <w:t xml:space="preserve">ãi bỏ </w:t>
      </w:r>
      <w:r w:rsidR="00151376" w:rsidRPr="00BD354C">
        <w:rPr>
          <w:b/>
          <w:spacing w:val="4"/>
        </w:rPr>
        <w:t>02</w:t>
      </w:r>
      <w:r w:rsidR="0097657A" w:rsidRPr="00BD354C">
        <w:rPr>
          <w:b/>
          <w:spacing w:val="4"/>
        </w:rPr>
        <w:t xml:space="preserve"> </w:t>
      </w:r>
      <w:r w:rsidR="00FC0114" w:rsidRPr="00BD354C">
        <w:rPr>
          <w:b/>
          <w:spacing w:val="4"/>
        </w:rPr>
        <w:t>Nghị quyết</w:t>
      </w:r>
      <w:r w:rsidR="0097657A" w:rsidRPr="00BD354C">
        <w:rPr>
          <w:b/>
          <w:spacing w:val="4"/>
        </w:rPr>
        <w:t xml:space="preserve"> quy phạm pháp luật</w:t>
      </w:r>
    </w:p>
    <w:p w14:paraId="1A398D71" w14:textId="0592ACF8" w:rsidR="00E97108" w:rsidRPr="00BD354C" w:rsidRDefault="0097657A" w:rsidP="00E97108">
      <w:pPr>
        <w:spacing w:line="351" w:lineRule="exact"/>
        <w:jc w:val="center"/>
        <w:rPr>
          <w:b/>
          <w:spacing w:val="4"/>
        </w:rPr>
      </w:pPr>
      <w:r w:rsidRPr="00BD354C">
        <w:rPr>
          <w:b/>
          <w:spacing w:val="4"/>
        </w:rPr>
        <w:t xml:space="preserve">của </w:t>
      </w:r>
      <w:r w:rsidR="00FC0114" w:rsidRPr="00BD354C">
        <w:rPr>
          <w:b/>
          <w:spacing w:val="4"/>
        </w:rPr>
        <w:t xml:space="preserve">Hội đồng </w:t>
      </w:r>
      <w:r w:rsidRPr="00BD354C">
        <w:rPr>
          <w:b/>
          <w:spacing w:val="4"/>
        </w:rPr>
        <w:t>nhân dân</w:t>
      </w:r>
      <w:r w:rsidR="0074541D" w:rsidRPr="00BD354C">
        <w:rPr>
          <w:b/>
          <w:spacing w:val="4"/>
        </w:rPr>
        <w:t xml:space="preserve"> </w:t>
      </w:r>
      <w:r w:rsidRPr="00BD354C">
        <w:rPr>
          <w:b/>
          <w:spacing w:val="4"/>
        </w:rPr>
        <w:t xml:space="preserve">tỉnh Tuyên Quang </w:t>
      </w:r>
      <w:r w:rsidR="00E97108" w:rsidRPr="00BD354C">
        <w:rPr>
          <w:b/>
          <w:spacing w:val="4"/>
        </w:rPr>
        <w:t>có phạm vi áp dụng</w:t>
      </w:r>
    </w:p>
    <w:p w14:paraId="0D8F6660" w14:textId="20550B65" w:rsidR="00E97108" w:rsidRPr="00BD354C" w:rsidRDefault="00E97108" w:rsidP="00E97108">
      <w:pPr>
        <w:spacing w:line="351" w:lineRule="exact"/>
        <w:jc w:val="center"/>
        <w:rPr>
          <w:b/>
          <w:spacing w:val="4"/>
        </w:rPr>
      </w:pPr>
      <w:r w:rsidRPr="00BD354C">
        <w:rPr>
          <w:b/>
          <w:spacing w:val="4"/>
        </w:rPr>
        <w:t xml:space="preserve">đối với </w:t>
      </w:r>
      <w:r w:rsidRPr="00BD354C">
        <w:rPr>
          <w:b/>
        </w:rPr>
        <w:t>đơn vị hành chính tỉnh Tuyên Quang</w:t>
      </w:r>
      <w:r w:rsidRPr="00BD354C">
        <w:rPr>
          <w:b/>
          <w:spacing w:val="4"/>
        </w:rPr>
        <w:t xml:space="preserve"> trước </w:t>
      </w:r>
      <w:r w:rsidR="00E67765" w:rsidRPr="00BD354C">
        <w:rPr>
          <w:b/>
          <w:spacing w:val="4"/>
        </w:rPr>
        <w:t>hợp nhất</w:t>
      </w:r>
    </w:p>
    <w:p w14:paraId="14891E68" w14:textId="549819A8" w:rsidR="000555A2" w:rsidRPr="00BD354C" w:rsidRDefault="00E97108" w:rsidP="00E97108">
      <w:pPr>
        <w:spacing w:line="351" w:lineRule="exact"/>
        <w:jc w:val="center"/>
        <w:rPr>
          <w:b/>
          <w:spacing w:val="4"/>
        </w:rPr>
      </w:pPr>
      <w:r w:rsidRPr="00BD354C">
        <w:rPr>
          <w:noProof/>
        </w:rPr>
        <mc:AlternateContent>
          <mc:Choice Requires="wps">
            <w:drawing>
              <wp:anchor distT="4294967295" distB="4294967295" distL="114300" distR="114300" simplePos="0" relativeHeight="251656704" behindDoc="0" locked="0" layoutInCell="1" allowOverlap="1" wp14:anchorId="7739F512" wp14:editId="48076D5F">
                <wp:simplePos x="0" y="0"/>
                <wp:positionH relativeFrom="column">
                  <wp:posOffset>2589834</wp:posOffset>
                </wp:positionH>
                <wp:positionV relativeFrom="paragraph">
                  <wp:posOffset>30480</wp:posOffset>
                </wp:positionV>
                <wp:extent cx="6934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342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w:pict>
              <v:line w14:anchorId="2699DB24"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9pt,2.4pt" to="2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" filled="t">
                <o:lock v:ext="edit" shapetype="f"/>
              </v:line>
            </w:pict>
          </mc:Fallback>
        </mc:AlternateContent>
      </w:r>
    </w:p>
    <w:p w14:paraId="6B603626" w14:textId="77777777" w:rsidR="000555A2" w:rsidRPr="00BD354C" w:rsidRDefault="000555A2" w:rsidP="001E248E">
      <w:pPr>
        <w:pStyle w:val="BodyText"/>
        <w:spacing w:before="120"/>
        <w:jc w:val="center"/>
        <w:rPr>
          <w:rFonts w:ascii="Times New Roman" w:hAnsi="Times New Roman"/>
          <w:szCs w:val="28"/>
          <w:lang w:val="pl-PL"/>
        </w:rPr>
      </w:pPr>
      <w:r w:rsidRPr="00BD354C">
        <w:rPr>
          <w:rFonts w:ascii="Times New Roman" w:hAnsi="Times New Roman"/>
          <w:szCs w:val="28"/>
          <w:lang w:val="pl-PL"/>
        </w:rPr>
        <w:t>Kính gửi: Ủy ban nhân dân tỉnh Tuyên Quang.</w:t>
      </w:r>
    </w:p>
    <w:p w14:paraId="650A3CC0" w14:textId="77777777" w:rsidR="000555A2" w:rsidRPr="00BD354C" w:rsidRDefault="000555A2" w:rsidP="000555A2">
      <w:pPr>
        <w:spacing w:line="351" w:lineRule="exact"/>
        <w:rPr>
          <w:b/>
          <w:bCs/>
        </w:rPr>
      </w:pPr>
      <w:r w:rsidRPr="00BD354C">
        <w:tab/>
      </w:r>
    </w:p>
    <w:p w14:paraId="54C96FC9" w14:textId="7332E95A" w:rsidR="000555A2" w:rsidRPr="00BD354C" w:rsidRDefault="000555A2" w:rsidP="00E616EE">
      <w:pPr>
        <w:spacing w:before="80" w:after="80"/>
        <w:ind w:firstLine="720"/>
        <w:jc w:val="both"/>
        <w:rPr>
          <w:spacing w:val="4"/>
        </w:rPr>
      </w:pPr>
      <w:r w:rsidRPr="00BD354C">
        <w:t>Căn cứ</w:t>
      </w:r>
      <w:r w:rsidR="008D5E5E" w:rsidRPr="00BD354C">
        <w:t xml:space="preserve"> </w:t>
      </w:r>
      <w:r w:rsidRPr="00BD354C">
        <w:t>Luật Ban hành văn bản quy phạm phá</w:t>
      </w:r>
      <w:r w:rsidR="005A60A1" w:rsidRPr="00BD354C">
        <w:t xml:space="preserve">p luật </w:t>
      </w:r>
      <w:r w:rsidR="0097657A" w:rsidRPr="00BD354C">
        <w:t>số 64/2025/QH15 được sửa đổi, bổ sung bởi Luật số 87/2025/QH15</w:t>
      </w:r>
      <w:r w:rsidR="005A60A1" w:rsidRPr="00BD354C">
        <w:rPr>
          <w:i/>
        </w:rPr>
        <w:t xml:space="preserve"> (viết chung là Luật Ban hành văn bản quy phạm pháp luật</w:t>
      </w:r>
      <w:r w:rsidRPr="00BD354C">
        <w:rPr>
          <w:i/>
        </w:rPr>
        <w:t>)</w:t>
      </w:r>
      <w:r w:rsidR="0097657A" w:rsidRPr="00BD354C">
        <w:t>,</w:t>
      </w:r>
      <w:r w:rsidRPr="00BD354C">
        <w:t xml:space="preserve"> </w:t>
      </w:r>
      <w:r w:rsidR="00FC0114" w:rsidRPr="00BD354C">
        <w:t>Sở Nội vụ</w:t>
      </w:r>
      <w:r w:rsidRPr="00BD354C">
        <w:t xml:space="preserve"> kính trình </w:t>
      </w:r>
      <w:r w:rsidR="009127A5" w:rsidRPr="00BD354C">
        <w:t>Ủy ban nhân dân</w:t>
      </w:r>
      <w:r w:rsidRPr="00BD354C">
        <w:t xml:space="preserve"> tỉnh dự thảo</w:t>
      </w:r>
      <w:r w:rsidRPr="00BD354C">
        <w:rPr>
          <w:lang w:val="pl-PL"/>
        </w:rPr>
        <w:t xml:space="preserve"> </w:t>
      </w:r>
      <w:r w:rsidR="003073BA" w:rsidRPr="00BD354C">
        <w:rPr>
          <w:lang w:val="pl-PL"/>
        </w:rPr>
        <w:t>Nghị quyết</w:t>
      </w:r>
      <w:r w:rsidRPr="00BD354C">
        <w:rPr>
          <w:lang w:val="pl-PL"/>
        </w:rPr>
        <w:t xml:space="preserve"> </w:t>
      </w:r>
      <w:r w:rsidR="00B24ED3" w:rsidRPr="00BD354C">
        <w:rPr>
          <w:lang w:val="pl-PL"/>
        </w:rPr>
        <w:t>b</w:t>
      </w:r>
      <w:r w:rsidR="0097657A" w:rsidRPr="00BD354C">
        <w:rPr>
          <w:lang w:val="pl-PL"/>
        </w:rPr>
        <w:t xml:space="preserve">ãi bỏ </w:t>
      </w:r>
      <w:r w:rsidR="00151376" w:rsidRPr="00BD354C">
        <w:rPr>
          <w:lang w:val="pl-PL"/>
        </w:rPr>
        <w:t>02</w:t>
      </w:r>
      <w:r w:rsidR="0097657A" w:rsidRPr="00BD354C">
        <w:rPr>
          <w:lang w:val="pl-PL"/>
        </w:rPr>
        <w:t xml:space="preserve"> </w:t>
      </w:r>
      <w:r w:rsidR="003073BA" w:rsidRPr="00BD354C">
        <w:t>Nghị quyết</w:t>
      </w:r>
      <w:r w:rsidR="00151376" w:rsidRPr="00BD354C">
        <w:rPr>
          <w:rStyle w:val="FootnoteReference"/>
        </w:rPr>
        <w:footnoteReference w:id="1"/>
      </w:r>
      <w:r w:rsidR="0097657A" w:rsidRPr="00BD354C">
        <w:t xml:space="preserve"> quy phạm pháp luật của </w:t>
      </w:r>
      <w:r w:rsidR="003073BA" w:rsidRPr="00BD354C">
        <w:t>Hội đồng</w:t>
      </w:r>
      <w:r w:rsidR="0097657A" w:rsidRPr="00BD354C">
        <w:t xml:space="preserve"> nhân dân tỉnh Tuyên Quang </w:t>
      </w:r>
      <w:r w:rsidR="00E97108" w:rsidRPr="00BD354C">
        <w:rPr>
          <w:spacing w:val="4"/>
        </w:rPr>
        <w:t xml:space="preserve">có phạm vi áp dụng đối với </w:t>
      </w:r>
      <w:r w:rsidR="00E97108" w:rsidRPr="00BD354C">
        <w:t>đơn vị hành chính tỉnh Tuyên Quang</w:t>
      </w:r>
      <w:r w:rsidR="00E97108" w:rsidRPr="00BD354C">
        <w:rPr>
          <w:spacing w:val="4"/>
        </w:rPr>
        <w:t xml:space="preserve"> trước </w:t>
      </w:r>
      <w:r w:rsidR="00E67765" w:rsidRPr="00BD354C">
        <w:rPr>
          <w:spacing w:val="4"/>
        </w:rPr>
        <w:t>hợp nhất</w:t>
      </w:r>
      <w:r w:rsidRPr="00BD354C">
        <w:rPr>
          <w:lang w:val="pl-PL"/>
        </w:rPr>
        <w:t>, c</w:t>
      </w:r>
      <w:r w:rsidRPr="00BD354C">
        <w:t>ụ thể như sau:</w:t>
      </w:r>
    </w:p>
    <w:p w14:paraId="14015776" w14:textId="3293EFF4" w:rsidR="00314432" w:rsidRPr="00BD354C" w:rsidRDefault="000555A2"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rPr>
      </w:pPr>
      <w:r w:rsidRPr="00BD354C">
        <w:rPr>
          <w:b/>
          <w:bCs/>
          <w:lang w:val="nl-NL"/>
        </w:rPr>
        <w:t xml:space="preserve">I. </w:t>
      </w:r>
      <w:bookmarkStart w:id="1" w:name="_Hlk221276322"/>
      <w:r w:rsidR="00314432" w:rsidRPr="00BD354C">
        <w:rPr>
          <w:b/>
          <w:lang w:val="vi-VN"/>
        </w:rPr>
        <w:t xml:space="preserve">SỰ CẦN THIẾT BAN HÀNH </w:t>
      </w:r>
      <w:r w:rsidR="00355088" w:rsidRPr="00BD354C">
        <w:rPr>
          <w:b/>
        </w:rPr>
        <w:t>VĂN BẢN</w:t>
      </w:r>
      <w:bookmarkEnd w:id="1"/>
    </w:p>
    <w:p w14:paraId="19F80E4B" w14:textId="384420C1" w:rsidR="00C54B8D" w:rsidRPr="00BD354C" w:rsidRDefault="00C54B8D"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b/>
          <w:bCs/>
          <w:spacing w:val="-2"/>
        </w:rPr>
      </w:pPr>
      <w:r w:rsidRPr="00BD354C">
        <w:rPr>
          <w:b/>
          <w:bCs/>
          <w:spacing w:val="-2"/>
        </w:rPr>
        <w:t>1. Cơ sở pháp lý</w:t>
      </w:r>
    </w:p>
    <w:p w14:paraId="5B2011C7" w14:textId="3AABEFBB" w:rsidR="00C54B8D" w:rsidRPr="00BD354C" w:rsidRDefault="00C54B8D"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bCs/>
          <w:spacing w:val="-6"/>
        </w:rPr>
      </w:pPr>
      <w:bookmarkStart w:id="2" w:name="_Hlk221091513"/>
      <w:bookmarkStart w:id="3" w:name="_Hlk221091593"/>
      <w:r w:rsidRPr="00BD354C">
        <w:rPr>
          <w:spacing w:val="-2"/>
        </w:rPr>
        <w:t>Tại</w:t>
      </w:r>
      <w:r w:rsidRPr="00BD354C">
        <w:rPr>
          <w:spacing w:val="-2"/>
          <w:lang w:val="vi-VN"/>
        </w:rPr>
        <w:t xml:space="preserve"> </w:t>
      </w:r>
      <w:r w:rsidRPr="00BD354C">
        <w:rPr>
          <w:spacing w:val="-2"/>
        </w:rPr>
        <w:t>điểm b khoản 2 Điều 54 Luật Ban hành văn bản quy phạm pháp luật</w:t>
      </w:r>
      <w:r w:rsidR="00355088" w:rsidRPr="00BD354C">
        <w:rPr>
          <w:spacing w:val="-2"/>
        </w:rPr>
        <w:t xml:space="preserve"> quy định</w:t>
      </w:r>
      <w:r w:rsidRPr="00BD354C">
        <w:rPr>
          <w:spacing w:val="-2"/>
        </w:rPr>
        <w:t xml:space="preserve">: </w:t>
      </w:r>
      <w:bookmarkEnd w:id="2"/>
      <w:r w:rsidRPr="00BD354C">
        <w:rPr>
          <w:bCs/>
          <w:i/>
          <w:iCs/>
          <w:spacing w:val="-6"/>
        </w:rPr>
        <w:t>“…</w:t>
      </w:r>
      <w:r w:rsidRPr="00BD354C">
        <w:rPr>
          <w:b/>
          <w:i/>
          <w:iCs/>
          <w:spacing w:val="-6"/>
          <w:u w:val="single"/>
        </w:rPr>
        <w:t>Trường hợp nhiều đơn vị hành chính được nhập thành một đơn vị hành chính mới cùng cấp</w:t>
      </w:r>
      <w:r w:rsidRPr="00BD354C">
        <w:rPr>
          <w:bCs/>
          <w:i/>
          <w:iCs/>
          <w:spacing w:val="-6"/>
        </w:rPr>
        <w:t xml:space="preserve"> thì văn bản quy phạm pháp luật của Hội đồng nhân dân, Ủy ban nhân dân, Chủ tịch Ủy ban nhân dân của đơn vị hành chính được nhập tiếp tục có hiệu lực trong phạm vi đơn vị hành chính đó cho đến khi </w:t>
      </w:r>
      <w:r w:rsidRPr="00BD354C">
        <w:rPr>
          <w:b/>
          <w:bCs/>
          <w:i/>
          <w:iCs/>
          <w:spacing w:val="-6"/>
          <w:u w:val="single"/>
        </w:rPr>
        <w:t xml:space="preserve">Hội đồng nhân dân, </w:t>
      </w:r>
      <w:r w:rsidRPr="00BD354C">
        <w:rPr>
          <w:b/>
          <w:i/>
          <w:iCs/>
          <w:spacing w:val="-6"/>
          <w:u w:val="single"/>
        </w:rPr>
        <w:t>Ủy ban nhân dân</w:t>
      </w:r>
      <w:r w:rsidRPr="00BD354C">
        <w:rPr>
          <w:bCs/>
          <w:i/>
          <w:iCs/>
          <w:spacing w:val="-6"/>
        </w:rPr>
        <w:t xml:space="preserve">, Chủ tịch Ủy ban nhân dân </w:t>
      </w:r>
      <w:r w:rsidRPr="00BD354C">
        <w:rPr>
          <w:b/>
          <w:i/>
          <w:iCs/>
          <w:spacing w:val="-6"/>
          <w:u w:val="single"/>
        </w:rPr>
        <w:t xml:space="preserve">của đơn vị hành chính mới ban hành văn bản hành chính để </w:t>
      </w:r>
      <w:r w:rsidRPr="00BD354C">
        <w:rPr>
          <w:bCs/>
          <w:i/>
          <w:iCs/>
          <w:spacing w:val="-6"/>
        </w:rPr>
        <w:t xml:space="preserve">quyết định việc áp dụng hoặc </w:t>
      </w:r>
      <w:r w:rsidRPr="00BD354C">
        <w:rPr>
          <w:b/>
          <w:i/>
          <w:iCs/>
          <w:spacing w:val="-6"/>
          <w:u w:val="single"/>
        </w:rPr>
        <w:t xml:space="preserve">bãi bỏ văn bản quy phạm pháp luật của </w:t>
      </w:r>
      <w:r w:rsidRPr="00BD354C">
        <w:rPr>
          <w:bCs/>
          <w:i/>
          <w:iCs/>
          <w:spacing w:val="-6"/>
        </w:rPr>
        <w:t xml:space="preserve">Hội đồng nhân dân, </w:t>
      </w:r>
      <w:r w:rsidRPr="00BD354C">
        <w:rPr>
          <w:i/>
          <w:iCs/>
          <w:spacing w:val="-6"/>
        </w:rPr>
        <w:t>Ủy ban nhân dân</w:t>
      </w:r>
      <w:r w:rsidRPr="00BD354C">
        <w:rPr>
          <w:bCs/>
          <w:i/>
          <w:iCs/>
          <w:spacing w:val="-6"/>
        </w:rPr>
        <w:t xml:space="preserve">, Chủ tịch Ủy ban nhân dân </w:t>
      </w:r>
      <w:r w:rsidRPr="00BD354C">
        <w:rPr>
          <w:b/>
          <w:i/>
          <w:iCs/>
          <w:spacing w:val="-6"/>
          <w:u w:val="single"/>
        </w:rPr>
        <w:t>của đơn vị hành chính được nhập</w:t>
      </w:r>
      <w:r w:rsidRPr="00BD354C">
        <w:rPr>
          <w:bCs/>
          <w:i/>
          <w:iCs/>
          <w:spacing w:val="-6"/>
        </w:rPr>
        <w:t xml:space="preserve"> hoặc ban hành văn bản quy phạm pháp luật mới”</w:t>
      </w:r>
      <w:r w:rsidRPr="00BD354C">
        <w:rPr>
          <w:bCs/>
          <w:spacing w:val="-6"/>
        </w:rPr>
        <w:t>.</w:t>
      </w:r>
    </w:p>
    <w:bookmarkEnd w:id="3"/>
    <w:p w14:paraId="20B08181" w14:textId="21B101FD" w:rsidR="00C54B8D" w:rsidRPr="00BD354C" w:rsidRDefault="00C54B8D"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b/>
          <w:bCs/>
          <w:spacing w:val="-2"/>
        </w:rPr>
      </w:pPr>
      <w:r w:rsidRPr="00BD354C">
        <w:rPr>
          <w:bCs/>
          <w:spacing w:val="-2"/>
        </w:rPr>
        <w:t xml:space="preserve">Do đó, việc trình </w:t>
      </w:r>
      <w:r w:rsidR="00584B23" w:rsidRPr="00BD354C">
        <w:rPr>
          <w:bCs/>
          <w:spacing w:val="-2"/>
        </w:rPr>
        <w:t xml:space="preserve">Hội đồng nhân dân </w:t>
      </w:r>
      <w:r w:rsidRPr="00BD354C">
        <w:rPr>
          <w:bCs/>
          <w:spacing w:val="-2"/>
        </w:rPr>
        <w:t xml:space="preserve">ban hành </w:t>
      </w:r>
      <w:r w:rsidR="00151376" w:rsidRPr="00BD354C">
        <w:rPr>
          <w:bCs/>
          <w:spacing w:val="-2"/>
        </w:rPr>
        <w:t>Nghị quyết</w:t>
      </w:r>
      <w:r w:rsidRPr="00BD354C">
        <w:rPr>
          <w:bCs/>
          <w:spacing w:val="-2"/>
        </w:rPr>
        <w:t xml:space="preserve"> </w:t>
      </w:r>
      <w:r w:rsidR="00EF5AD0" w:rsidRPr="00BD354C">
        <w:rPr>
          <w:spacing w:val="-2"/>
          <w:lang w:val="pl-PL"/>
        </w:rPr>
        <w:t>b</w:t>
      </w:r>
      <w:r w:rsidRPr="00BD354C">
        <w:rPr>
          <w:spacing w:val="-2"/>
          <w:lang w:val="pl-PL"/>
        </w:rPr>
        <w:t xml:space="preserve">ãi bỏ </w:t>
      </w:r>
      <w:r w:rsidR="00151376" w:rsidRPr="00BD354C">
        <w:rPr>
          <w:spacing w:val="-2"/>
          <w:lang w:val="pl-PL"/>
        </w:rPr>
        <w:t>02 Nghị quyết</w:t>
      </w:r>
      <w:r w:rsidRPr="00BD354C">
        <w:rPr>
          <w:spacing w:val="-2"/>
        </w:rPr>
        <w:t xml:space="preserve"> quy phạm pháp luật của </w:t>
      </w:r>
      <w:r w:rsidR="00151376" w:rsidRPr="00BD354C">
        <w:rPr>
          <w:spacing w:val="-2"/>
        </w:rPr>
        <w:t>Hội đồng nhân dân</w:t>
      </w:r>
      <w:r w:rsidRPr="00BD354C">
        <w:rPr>
          <w:spacing w:val="-2"/>
        </w:rPr>
        <w:t xml:space="preserve"> tỉnh Tuyên Quang trước </w:t>
      </w:r>
      <w:r w:rsidR="00B41C76" w:rsidRPr="00BD354C">
        <w:rPr>
          <w:spacing w:val="-2"/>
        </w:rPr>
        <w:t>hợp nhất</w:t>
      </w:r>
      <w:r w:rsidR="00151376" w:rsidRPr="00BD354C">
        <w:rPr>
          <w:spacing w:val="-2"/>
        </w:rPr>
        <w:t xml:space="preserve"> </w:t>
      </w:r>
      <w:r w:rsidRPr="00BD354C">
        <w:rPr>
          <w:i/>
          <w:iCs/>
          <w:spacing w:val="-2"/>
        </w:rPr>
        <w:t>(dưới hình thức văn bản hành chính)</w:t>
      </w:r>
      <w:r w:rsidRPr="00BD354C">
        <w:rPr>
          <w:spacing w:val="-2"/>
        </w:rPr>
        <w:t xml:space="preserve"> là có cơ sở pháp lý và phù hợp về thẩm quyền.</w:t>
      </w:r>
    </w:p>
    <w:p w14:paraId="4000695D" w14:textId="389A799E" w:rsidR="00151376" w:rsidRPr="00BD354C" w:rsidRDefault="00C54B8D"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b/>
          <w:bCs/>
          <w:spacing w:val="-2"/>
        </w:rPr>
      </w:pPr>
      <w:r w:rsidRPr="00BD354C">
        <w:rPr>
          <w:b/>
          <w:bCs/>
          <w:spacing w:val="-2"/>
        </w:rPr>
        <w:t>2. Sự cần thiết ban hành</w:t>
      </w:r>
    </w:p>
    <w:p w14:paraId="532E3A8E" w14:textId="6E58144B" w:rsidR="00151376" w:rsidRPr="00BD354C" w:rsidRDefault="00EE027E"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lang w:val="nl-NL"/>
        </w:rPr>
      </w:pPr>
      <w:bookmarkStart w:id="4" w:name="_Hlk221276116"/>
      <w:bookmarkStart w:id="5" w:name="_Hlk221109012"/>
      <w:r w:rsidRPr="00BD354C">
        <w:t>-</w:t>
      </w:r>
      <w:r w:rsidR="00CE1CAC" w:rsidRPr="00BD354C">
        <w:t xml:space="preserve"> </w:t>
      </w:r>
      <w:r w:rsidR="00151376" w:rsidRPr="00BD354C">
        <w:t xml:space="preserve">Ngày 25/8/2025, Hội đồng nhân dân tỉnh Tuyên Quang đã ban hành Nghị quyết số 51/NQ-HĐND </w:t>
      </w:r>
      <w:r w:rsidR="000F6FE5" w:rsidRPr="00BD354C">
        <w:t xml:space="preserve">về việc áp dụng các Nghị quyết quy phạm pháp luật của Hội đồng nhân dân tỉnh Tuyên Quang và tỉnh Hà Giang trước </w:t>
      </w:r>
      <w:r w:rsidR="00B41C76" w:rsidRPr="00BD354C">
        <w:t>hợp nhất</w:t>
      </w:r>
      <w:r w:rsidR="000F6FE5" w:rsidRPr="00BD354C">
        <w:t xml:space="preserve"> trên địa </w:t>
      </w:r>
      <w:r w:rsidR="000F6FE5" w:rsidRPr="00BD354C">
        <w:lastRenderedPageBreak/>
        <w:t xml:space="preserve">bàn tỉnh Tuyên Quang, trong đó quyết định áp dụng </w:t>
      </w:r>
      <w:r w:rsidR="000F6FE5" w:rsidRPr="00BD354C">
        <w:rPr>
          <w:bCs/>
        </w:rPr>
        <w:t xml:space="preserve">02 Nghị quyết quy phạm pháp luật của Hội đồng nhân dân tỉnh Tuyên Quang trước sắp xếp thuộc lĩnh vực Nội vụ trên địa bàn tỉnh Tuyên Quang sau sắp xếp </w:t>
      </w:r>
      <w:r w:rsidR="000F6FE5" w:rsidRPr="00BD354C">
        <w:rPr>
          <w:b/>
          <w:u w:val="single"/>
        </w:rPr>
        <w:t>cho đến khi ban hành văn bản mới</w:t>
      </w:r>
      <w:r w:rsidR="000F6FE5" w:rsidRPr="00BD354C">
        <w:rPr>
          <w:b/>
        </w:rPr>
        <w:t>,</w:t>
      </w:r>
      <w:r w:rsidR="000F6FE5" w:rsidRPr="00BD354C">
        <w:rPr>
          <w:bCs/>
        </w:rPr>
        <w:t xml:space="preserve"> gồm: (1) Nghị quyết số 12/2021/</w:t>
      </w:r>
      <w:r w:rsidR="003B1949" w:rsidRPr="00BD354C">
        <w:rPr>
          <w:bCs/>
        </w:rPr>
        <w:t>NQ-HĐND ngày 20/</w:t>
      </w:r>
      <w:r w:rsidR="000F6FE5" w:rsidRPr="00BD354C">
        <w:rPr>
          <w:bCs/>
        </w:rPr>
        <w:t>12</w:t>
      </w:r>
      <w:r w:rsidR="003B1949" w:rsidRPr="00BD354C">
        <w:rPr>
          <w:bCs/>
        </w:rPr>
        <w:t>/</w:t>
      </w:r>
      <w:r w:rsidR="000F6FE5" w:rsidRPr="00BD354C">
        <w:rPr>
          <w:bCs/>
        </w:rPr>
        <w:t xml:space="preserve">2021 </w:t>
      </w:r>
      <w:r w:rsidR="003B1949" w:rsidRPr="00BD354C">
        <w:t>của Hội đồng nhân dân tỉnh Tuyên Quang 1</w:t>
      </w:r>
      <w:r w:rsidR="000F6FE5" w:rsidRPr="00BD354C">
        <w:rPr>
          <w:bCs/>
        </w:rPr>
        <w:t>uy định chính sách thu hút nguồn nhân lực, hỗ trợ đào tạo sau đại học, nâng cao trình độ ngoại ngữ</w:t>
      </w:r>
      <w:r w:rsidR="000F6FE5" w:rsidRPr="00BD354C">
        <w:rPr>
          <w:lang w:val="nl-NL"/>
        </w:rPr>
        <w:t xml:space="preserve">; (2) </w:t>
      </w:r>
      <w:r w:rsidR="000F6FE5" w:rsidRPr="00BD354C">
        <w:rPr>
          <w:bCs/>
        </w:rPr>
        <w:t>Nghị q</w:t>
      </w:r>
      <w:r w:rsidR="003B1949" w:rsidRPr="00BD354C">
        <w:rPr>
          <w:bCs/>
        </w:rPr>
        <w:t>uyết số 03/2023/NQ-HĐND ngày 06/</w:t>
      </w:r>
      <w:r w:rsidR="000F6FE5" w:rsidRPr="00BD354C">
        <w:rPr>
          <w:bCs/>
        </w:rPr>
        <w:t>7</w:t>
      </w:r>
      <w:r w:rsidR="003B1949" w:rsidRPr="00BD354C">
        <w:rPr>
          <w:bCs/>
        </w:rPr>
        <w:t>/</w:t>
      </w:r>
      <w:r w:rsidR="000F6FE5" w:rsidRPr="00BD354C">
        <w:rPr>
          <w:bCs/>
        </w:rPr>
        <w:t xml:space="preserve">2023 </w:t>
      </w:r>
      <w:r w:rsidR="003B1949" w:rsidRPr="00BD354C">
        <w:t>của Hội đồng nhân dân tỉnh Tuyên Quang s</w:t>
      </w:r>
      <w:r w:rsidR="000F6FE5" w:rsidRPr="00BD354C">
        <w:rPr>
          <w:lang w:val="nl-NL"/>
        </w:rPr>
        <w:t xml:space="preserve">ửa đổi, bổ sung </w:t>
      </w:r>
      <w:r w:rsidR="000F6FE5" w:rsidRPr="00BD354C">
        <w:rPr>
          <w:bCs/>
        </w:rPr>
        <w:t>Nghị quyết số 12/2021/NQ-HĐND ngày 20</w:t>
      </w:r>
      <w:r w:rsidR="003B1949" w:rsidRPr="00BD354C">
        <w:rPr>
          <w:bCs/>
        </w:rPr>
        <w:t>/</w:t>
      </w:r>
      <w:r w:rsidR="000F6FE5" w:rsidRPr="00BD354C">
        <w:rPr>
          <w:bCs/>
        </w:rPr>
        <w:t>12</w:t>
      </w:r>
      <w:r w:rsidR="003B1949" w:rsidRPr="00BD354C">
        <w:rPr>
          <w:bCs/>
        </w:rPr>
        <w:t>/</w:t>
      </w:r>
      <w:r w:rsidR="000F6FE5" w:rsidRPr="00BD354C">
        <w:rPr>
          <w:bCs/>
        </w:rPr>
        <w:t>2021 Quy định chính sách thu hút nguồn nhân lực, hỗ trợ đào tạo sau đại học, nâng cao trình độ ngoại ngữ</w:t>
      </w:r>
      <w:r w:rsidR="000F6FE5" w:rsidRPr="00BD354C">
        <w:rPr>
          <w:lang w:val="nl-NL"/>
        </w:rPr>
        <w:t>.</w:t>
      </w:r>
    </w:p>
    <w:p w14:paraId="2056DCE6" w14:textId="7A24BB68" w:rsidR="00CE1CAC" w:rsidRPr="00BD354C" w:rsidRDefault="00CE1CAC"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rStyle w:val="fontstyle21"/>
          <w:iCs w:val="0"/>
          <w:color w:val="auto"/>
          <w:sz w:val="28"/>
          <w:szCs w:val="28"/>
        </w:rPr>
      </w:pPr>
      <w:r w:rsidRPr="00BD354C">
        <w:rPr>
          <w:rStyle w:val="fontstyle01"/>
          <w:color w:val="auto"/>
          <w:sz w:val="28"/>
          <w:szCs w:val="28"/>
        </w:rPr>
        <w:t xml:space="preserve">- Ngày 09/10/2025, Thường trực Hội đồng nhân dân tỉnh có Công văn số 254/HĐND-VP về việc cho ý kiến đối với Danh mục nghị quyết của Hội đồng nhân dân tỉnh quy định chi tiết luật, nghị quyết; trong đó lĩnh vực Nội vụ có nội dung: </w:t>
      </w:r>
      <w:r w:rsidRPr="00BD354C">
        <w:rPr>
          <w:rStyle w:val="fontstyle01"/>
          <w:i/>
          <w:iCs/>
          <w:color w:val="auto"/>
          <w:sz w:val="28"/>
          <w:szCs w:val="28"/>
        </w:rPr>
        <w:t>“Nghị quyết Quy định chính sách thu hút nguồn nhân lực chất lượng cao và chính sách đối với người có tài năng trong hoạt động công vụ trên địa bàn tỉnh Tuyên Quang (</w:t>
      </w:r>
      <w:r w:rsidRPr="00BD354C">
        <w:rPr>
          <w:rStyle w:val="fontstyle21"/>
          <w:color w:val="auto"/>
          <w:sz w:val="28"/>
          <w:szCs w:val="28"/>
        </w:rPr>
        <w:t>trình Hội đồng nhân dân tỉnh tháng 11/2025</w:t>
      </w:r>
      <w:r w:rsidRPr="00BD354C">
        <w:rPr>
          <w:rStyle w:val="fontstyle01"/>
          <w:i/>
          <w:iCs/>
          <w:color w:val="auto"/>
          <w:sz w:val="28"/>
          <w:szCs w:val="28"/>
        </w:rPr>
        <w:t>)”</w:t>
      </w:r>
      <w:r w:rsidRPr="00BD354C">
        <w:rPr>
          <w:rStyle w:val="fontstyle01"/>
          <w:color w:val="auto"/>
          <w:sz w:val="28"/>
          <w:szCs w:val="28"/>
        </w:rPr>
        <w:t>.</w:t>
      </w:r>
      <w:r w:rsidRPr="00BD354C">
        <w:rPr>
          <w:iCs/>
          <w:lang w:val="vi-VN"/>
        </w:rPr>
        <w:t xml:space="preserve"> Ủy ban nhân dân tỉnh</w:t>
      </w:r>
      <w:r w:rsidRPr="00BD354C">
        <w:rPr>
          <w:iCs/>
        </w:rPr>
        <w:t xml:space="preserve"> đã triển khai tại </w:t>
      </w:r>
      <w:r w:rsidRPr="00BD354C">
        <w:rPr>
          <w:iCs/>
          <w:lang w:val="vi-VN"/>
        </w:rPr>
        <w:t xml:space="preserve">Văn bản số </w:t>
      </w:r>
      <w:r w:rsidRPr="00BD354C">
        <w:rPr>
          <w:iCs/>
        </w:rPr>
        <w:t>2577</w:t>
      </w:r>
      <w:r w:rsidRPr="00BD354C">
        <w:rPr>
          <w:iCs/>
          <w:lang w:val="vi-VN"/>
        </w:rPr>
        <w:t xml:space="preserve">/UBND-NC ngày </w:t>
      </w:r>
      <w:r w:rsidRPr="00BD354C">
        <w:rPr>
          <w:iCs/>
        </w:rPr>
        <w:t xml:space="preserve">09/10/2025, trong đó giao: </w:t>
      </w:r>
      <w:r w:rsidRPr="00BD354C">
        <w:rPr>
          <w:i/>
          <w:iCs/>
        </w:rPr>
        <w:t xml:space="preserve">Sở Nội vụ chủ trì, phối hợp với các cơ quan, đơn vị liên quan tổ chức xây dựng Nghị quyết </w:t>
      </w:r>
      <w:r w:rsidR="003B1949" w:rsidRPr="00BD354C">
        <w:rPr>
          <w:i/>
          <w:iCs/>
        </w:rPr>
        <w:t>q</w:t>
      </w:r>
      <w:r w:rsidRPr="00BD354C">
        <w:rPr>
          <w:i/>
          <w:iCs/>
        </w:rPr>
        <w:t xml:space="preserve">uy định chính sách thu hút nguồn nhân lực chất lượng cao và chính sách đối với người có tài năng trong hoạt động công vụ trên địa bàn tỉnh Tuyên Quang; </w:t>
      </w:r>
      <w:r w:rsidRPr="00BD354C">
        <w:rPr>
          <w:rStyle w:val="fontstyle01"/>
          <w:i/>
          <w:color w:val="auto"/>
          <w:sz w:val="28"/>
          <w:szCs w:val="28"/>
        </w:rPr>
        <w:t xml:space="preserve">hoàn thành, báo cáo Ủy ban nhân dân tỉnh </w:t>
      </w:r>
      <w:r w:rsidRPr="00BD354C">
        <w:rPr>
          <w:rStyle w:val="fontstyle21"/>
          <w:iCs w:val="0"/>
          <w:color w:val="auto"/>
          <w:sz w:val="28"/>
          <w:szCs w:val="28"/>
        </w:rPr>
        <w:t>trước ngày 10/11/2025.</w:t>
      </w:r>
    </w:p>
    <w:p w14:paraId="1AC11CF3" w14:textId="292C4532" w:rsidR="00CE1CAC" w:rsidRPr="00BD354C" w:rsidRDefault="00CE1CAC"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bCs/>
          <w:i/>
          <w:iCs/>
        </w:rPr>
      </w:pPr>
      <w:r w:rsidRPr="00BD354C">
        <w:t xml:space="preserve">Căn cứ nội dung nêu trên và quy định hiện hành, Sở Nội vụ đã chủ trì, phối hợp với cơ quan, đơn vị liên quan triển khai thực hiện quy trình xây dựng văn bản quy phạm pháp luật theo quy định. </w:t>
      </w:r>
      <w:bookmarkStart w:id="6" w:name="_Hlk221269135"/>
      <w:r w:rsidRPr="00BD354C">
        <w:t>Tuy nhiên</w:t>
      </w:r>
      <w:r w:rsidR="005303F0" w:rsidRPr="00BD354C">
        <w:t>,</w:t>
      </w:r>
      <w:r w:rsidRPr="00BD354C">
        <w:t xml:space="preserve"> ngày 07/11/2025</w:t>
      </w:r>
      <w:r w:rsidR="005303F0" w:rsidRPr="00BD354C">
        <w:t>,</w:t>
      </w:r>
      <w:r w:rsidRPr="00BD354C">
        <w:t xml:space="preserve"> Bộ Chính trị có Kết luận số 205-KL/TW về một số giải pháp đột phá trong tuyển dụng, bố trí, sử dụng, đãi ngộ cán bộ, trong đó có nhiều nội dung định hướng mới về cơ chế tuyển dụng, cơ chế bố trí, sử dụng và cơ chế đãi ngộ cán bộ; đặc biệt tại nội dung điểm 5.1 mục 5 giao: </w:t>
      </w:r>
      <w:r w:rsidRPr="00BD354C">
        <w:rPr>
          <w:b/>
          <w:bCs/>
          <w:i/>
          <w:iCs/>
        </w:rPr>
        <w:t xml:space="preserve">“Đảng ủy Chính phủ, Đảng ủy Quốc hội lãnh đạo, chỉ đạo sửa đổi, ban hành văn bản có liên quan để thực hiện Kết luận này, </w:t>
      </w:r>
      <w:r w:rsidRPr="00BD354C">
        <w:rPr>
          <w:b/>
          <w:bCs/>
          <w:i/>
          <w:iCs/>
          <w:u w:val="single"/>
        </w:rPr>
        <w:t>kịp thời cụ thể hoá danh mục các ngành, lĩnh vực chiến lược, trọng điểm, quan trọng cần đến nguồn nhân lực xuất sắc, tiêu chí phát hiện, tuyển chọn, đánh giá và các chính sách đãi ngộ đối với các nhóm cán bộ, công chức tài năng</w:t>
      </w:r>
      <w:r w:rsidRPr="00BD354C">
        <w:rPr>
          <w:b/>
          <w:bCs/>
          <w:i/>
          <w:iCs/>
        </w:rPr>
        <w:t>”.</w:t>
      </w:r>
    </w:p>
    <w:p w14:paraId="4F12FE40" w14:textId="26B0AB41" w:rsidR="00C814C4" w:rsidRPr="00BD354C" w:rsidRDefault="003B1949" w:rsidP="00C814C4">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Cs/>
          <w:iCs/>
        </w:rPr>
      </w:pPr>
      <w:r w:rsidRPr="00BD354C">
        <w:rPr>
          <w:bCs/>
          <w:iCs/>
        </w:rPr>
        <w:t>Theo đó</w:t>
      </w:r>
      <w:r w:rsidR="00CE1CAC" w:rsidRPr="00BD354C">
        <w:rPr>
          <w:bCs/>
          <w:iCs/>
        </w:rPr>
        <w:t xml:space="preserve">, Chính phủ sẽ thể chế hóa, ban hành các quy định mới, hoặc sửa đổi, bổ sung các quy định hiện hành liên quan đến </w:t>
      </w:r>
      <w:r w:rsidR="00CE1CAC" w:rsidRPr="00BD354C">
        <w:t xml:space="preserve">tuyển dụng, bố trí, sử dụng, đãi ngộ cán bộ, trong đó quan trọng nhất là việc </w:t>
      </w:r>
      <w:r w:rsidR="00CE1CAC" w:rsidRPr="00BD354C">
        <w:rPr>
          <w:bCs/>
          <w:iCs/>
        </w:rPr>
        <w:t>cụ thể hoá danh mục các ngành, lĩnh vực chiến lược, trọng điểm, quan trọng để thu hút, trọng dụng nhân tài</w:t>
      </w:r>
      <w:r w:rsidR="000155C6" w:rsidRPr="00BD354C">
        <w:rPr>
          <w:bCs/>
          <w:iCs/>
        </w:rPr>
        <w:t>.</w:t>
      </w:r>
    </w:p>
    <w:p w14:paraId="1BC86788" w14:textId="1ED75869" w:rsidR="000F0BAB" w:rsidRPr="00BD354C" w:rsidRDefault="004E2B67" w:rsidP="00E616EE">
      <w:pPr>
        <w:pStyle w:val="NormalWeb"/>
        <w:pBdr>
          <w:top w:val="none" w:sz="0" w:space="0" w:color="auto"/>
          <w:left w:val="none" w:sz="0" w:space="0" w:color="auto"/>
          <w:bottom w:val="none" w:sz="0" w:space="0" w:color="auto"/>
          <w:right w:val="none" w:sz="0" w:space="0" w:color="auto"/>
          <w:between w:val="none" w:sz="0" w:space="0" w:color="auto"/>
        </w:pBdr>
        <w:spacing w:before="80" w:beforeAutospacing="0" w:after="80" w:afterAutospacing="0"/>
        <w:ind w:firstLine="720"/>
        <w:jc w:val="both"/>
        <w:rPr>
          <w:i/>
          <w:iCs/>
          <w:spacing w:val="-6"/>
          <w:sz w:val="28"/>
          <w:szCs w:val="28"/>
          <w:lang w:val="nl-NL"/>
        </w:rPr>
      </w:pPr>
      <w:r w:rsidRPr="00BD354C">
        <w:rPr>
          <w:sz w:val="28"/>
          <w:szCs w:val="28"/>
        </w:rPr>
        <w:t>H</w:t>
      </w:r>
      <w:r w:rsidR="000F0BAB" w:rsidRPr="00BD354C">
        <w:rPr>
          <w:sz w:val="28"/>
          <w:szCs w:val="28"/>
        </w:rPr>
        <w:t>iện nay</w:t>
      </w:r>
      <w:r w:rsidRPr="00BD354C">
        <w:rPr>
          <w:sz w:val="28"/>
          <w:szCs w:val="28"/>
        </w:rPr>
        <w:t>,</w:t>
      </w:r>
      <w:r w:rsidR="000F0BAB" w:rsidRPr="00BD354C">
        <w:rPr>
          <w:sz w:val="28"/>
          <w:szCs w:val="28"/>
        </w:rPr>
        <w:t xml:space="preserve"> Quốc hội, </w:t>
      </w:r>
      <w:r w:rsidR="000F0BAB" w:rsidRPr="00BD354C">
        <w:rPr>
          <w:bCs/>
          <w:sz w:val="28"/>
          <w:szCs w:val="28"/>
          <w:lang w:val="it-IT"/>
        </w:rPr>
        <w:t>Chính phủ chưa ban hành văn bản cụ thể hoá nội dung</w:t>
      </w:r>
      <w:r w:rsidR="000F0BAB" w:rsidRPr="00BD354C">
        <w:rPr>
          <w:b/>
          <w:sz w:val="28"/>
          <w:szCs w:val="28"/>
          <w:lang w:val="it-IT"/>
        </w:rPr>
        <w:t xml:space="preserve"> </w:t>
      </w:r>
      <w:r w:rsidR="000F0BAB" w:rsidRPr="00BD354C">
        <w:rPr>
          <w:sz w:val="28"/>
          <w:szCs w:val="28"/>
        </w:rPr>
        <w:t xml:space="preserve">Kết luận số 205-KL/TW ngày 07/11/2025 của Bộ Chính trị; </w:t>
      </w:r>
      <w:bookmarkStart w:id="7" w:name="_Hlk221277840"/>
      <w:bookmarkStart w:id="8" w:name="_Hlk221278283"/>
      <w:r w:rsidR="000F0BAB" w:rsidRPr="00BD354C">
        <w:rPr>
          <w:sz w:val="28"/>
          <w:szCs w:val="28"/>
        </w:rPr>
        <w:t xml:space="preserve">đồng thời ngày 15/01/2026, Uỷ ban nhân dân tỉnh đã ban hành Quyết định số 95/QĐ-UBND về việc phê duyệt Kế hoạch tuyển dụng, tiếp nhận vào làm viên chức sự nghiệp Giáo dục và Đào tạo tỉnh Tuyên Quang năm 2025; </w:t>
      </w:r>
      <w:r w:rsidR="000F0BAB" w:rsidRPr="00BD354C">
        <w:rPr>
          <w:sz w:val="28"/>
          <w:szCs w:val="28"/>
          <w:shd w:val="clear" w:color="auto" w:fill="FFFFFF"/>
        </w:rPr>
        <w:t xml:space="preserve">Quyết định số 105/QĐ-UBND ngày 16/01/2026 về việc phê duyệt kế hoạch tuyển dụng, tiếp nhận viên chức sự nghiệp Y tế năm 2025. </w:t>
      </w:r>
      <w:bookmarkStart w:id="9" w:name="_Hlk221278701"/>
      <w:r w:rsidR="000F0BAB" w:rsidRPr="00BD354C">
        <w:rPr>
          <w:sz w:val="28"/>
          <w:szCs w:val="28"/>
          <w:shd w:val="clear" w:color="auto" w:fill="FFFFFF"/>
        </w:rPr>
        <w:t>Như vậy, v</w:t>
      </w:r>
      <w:r w:rsidR="000F0BAB" w:rsidRPr="00BD354C">
        <w:rPr>
          <w:sz w:val="28"/>
          <w:szCs w:val="28"/>
        </w:rPr>
        <w:t>iệc tiếp tục áp dụng Nghị quyết số 12/2021/NQ-</w:t>
      </w:r>
      <w:r w:rsidR="000F0BAB" w:rsidRPr="00BD354C">
        <w:rPr>
          <w:spacing w:val="-2"/>
          <w:sz w:val="28"/>
          <w:szCs w:val="28"/>
        </w:rPr>
        <w:t xml:space="preserve">HĐND và Nghị quyết số 03/2023/NQ-HĐND của Hội đồng nhân dân tỉnh </w:t>
      </w:r>
      <w:r w:rsidR="000F0BAB" w:rsidRPr="00BD354C">
        <w:rPr>
          <w:i/>
          <w:iCs/>
          <w:spacing w:val="-2"/>
          <w:sz w:val="28"/>
          <w:szCs w:val="28"/>
        </w:rPr>
        <w:t>(chỉ áp dụng đối với các xã trên địa bàn tỉnh Tuyên Quang cũ)</w:t>
      </w:r>
      <w:r w:rsidR="000F0BAB" w:rsidRPr="00BD354C">
        <w:rPr>
          <w:spacing w:val="-2"/>
          <w:sz w:val="28"/>
          <w:szCs w:val="28"/>
        </w:rPr>
        <w:t xml:space="preserve"> sẽ dẫn đến việc thiếu đồng bộ trong tuyển dụng tạo ra “khoảng trống” pháp lý về đối tượng thụ hưởng, phạm vi điều </w:t>
      </w:r>
      <w:r w:rsidR="000F0BAB" w:rsidRPr="00BD354C">
        <w:rPr>
          <w:spacing w:val="-2"/>
          <w:sz w:val="28"/>
          <w:szCs w:val="28"/>
        </w:rPr>
        <w:lastRenderedPageBreak/>
        <w:t>chỉnh do các Nghị quyết hiện hành được xây dựng dựa trên các căn cứ cũ</w:t>
      </w:r>
      <w:r w:rsidR="000F0BAB" w:rsidRPr="00BD354C">
        <w:rPr>
          <w:rStyle w:val="FootnoteReference"/>
          <w:spacing w:val="-2"/>
          <w:sz w:val="28"/>
          <w:szCs w:val="28"/>
        </w:rPr>
        <w:footnoteReference w:id="2"/>
      </w:r>
      <w:r w:rsidR="000F0BAB" w:rsidRPr="00BD354C">
        <w:rPr>
          <w:spacing w:val="-2"/>
          <w:sz w:val="28"/>
          <w:szCs w:val="28"/>
        </w:rPr>
        <w:t xml:space="preserve">, phạm vi điều chỉnh và đối tượng áp dụng chỉ giới hạn trên địa bàn tỉnh Tuyên Quang (trước </w:t>
      </w:r>
      <w:r w:rsidR="001E248E" w:rsidRPr="00BD354C">
        <w:rPr>
          <w:spacing w:val="-2"/>
          <w:sz w:val="28"/>
          <w:szCs w:val="28"/>
        </w:rPr>
        <w:t>hợp nhất</w:t>
      </w:r>
      <w:r w:rsidR="000F0BAB" w:rsidRPr="00BD354C">
        <w:rPr>
          <w:spacing w:val="-2"/>
          <w:sz w:val="28"/>
          <w:szCs w:val="28"/>
        </w:rPr>
        <w:t>)</w:t>
      </w:r>
      <w:r w:rsidR="000F0BAB" w:rsidRPr="00BD354C">
        <w:rPr>
          <w:rStyle w:val="FootnoteReference"/>
          <w:spacing w:val="-2"/>
          <w:sz w:val="28"/>
          <w:szCs w:val="28"/>
        </w:rPr>
        <w:footnoteReference w:id="3"/>
      </w:r>
      <w:r w:rsidR="000F0BAB" w:rsidRPr="00BD354C">
        <w:rPr>
          <w:spacing w:val="-2"/>
          <w:sz w:val="28"/>
          <w:szCs w:val="28"/>
        </w:rPr>
        <w:t xml:space="preserve">. Điều này dẫn đến việc thiếu tính công bằng, không đảm bảo quyền lợi đồng nhất cho tất cả các đối tượng tham gia dự tuyển trong cùng một đợt tuyển dụng năm 2025 </w:t>
      </w:r>
      <w:r w:rsidR="000F0BAB" w:rsidRPr="00BD354C">
        <w:rPr>
          <w:i/>
          <w:iCs/>
          <w:spacing w:val="-2"/>
          <w:sz w:val="28"/>
          <w:szCs w:val="28"/>
        </w:rPr>
        <w:t xml:space="preserve">(cùng một đối tượng trúng tuyển nhưng công tác tại các </w:t>
      </w:r>
      <w:r w:rsidR="005754C7" w:rsidRPr="00BD354C">
        <w:rPr>
          <w:i/>
          <w:iCs/>
          <w:spacing w:val="-2"/>
          <w:sz w:val="28"/>
          <w:szCs w:val="28"/>
        </w:rPr>
        <w:t xml:space="preserve">đơn vị hành chính </w:t>
      </w:r>
      <w:r w:rsidR="000F0BAB" w:rsidRPr="00BD354C">
        <w:rPr>
          <w:i/>
          <w:iCs/>
          <w:spacing w:val="-2"/>
          <w:sz w:val="28"/>
          <w:szCs w:val="28"/>
        </w:rPr>
        <w:t xml:space="preserve">thuộc tỉnh Tuyên Quang </w:t>
      </w:r>
      <w:r w:rsidR="005754C7" w:rsidRPr="00BD354C">
        <w:rPr>
          <w:i/>
          <w:iCs/>
          <w:spacing w:val="-2"/>
          <w:sz w:val="28"/>
          <w:szCs w:val="28"/>
        </w:rPr>
        <w:t>(</w:t>
      </w:r>
      <w:r w:rsidR="000F0BAB" w:rsidRPr="00BD354C">
        <w:rPr>
          <w:i/>
          <w:iCs/>
          <w:spacing w:val="-2"/>
          <w:sz w:val="28"/>
          <w:szCs w:val="28"/>
        </w:rPr>
        <w:t>cũ</w:t>
      </w:r>
      <w:r w:rsidR="005754C7" w:rsidRPr="00BD354C">
        <w:rPr>
          <w:i/>
          <w:iCs/>
          <w:spacing w:val="-2"/>
          <w:sz w:val="28"/>
          <w:szCs w:val="28"/>
        </w:rPr>
        <w:t>)</w:t>
      </w:r>
      <w:r w:rsidR="000F0BAB" w:rsidRPr="00BD354C">
        <w:rPr>
          <w:i/>
          <w:iCs/>
          <w:spacing w:val="-2"/>
          <w:sz w:val="28"/>
          <w:szCs w:val="28"/>
        </w:rPr>
        <w:t xml:space="preserve"> thì được hưởng chính sách thu hút của tỉnh nhưng vào các </w:t>
      </w:r>
      <w:r w:rsidR="005754C7" w:rsidRPr="00BD354C">
        <w:rPr>
          <w:i/>
          <w:iCs/>
          <w:spacing w:val="-2"/>
          <w:sz w:val="28"/>
          <w:szCs w:val="28"/>
        </w:rPr>
        <w:t>đơn vị</w:t>
      </w:r>
      <w:r w:rsidR="000F0BAB" w:rsidRPr="00BD354C">
        <w:rPr>
          <w:i/>
          <w:iCs/>
          <w:spacing w:val="-2"/>
          <w:sz w:val="28"/>
          <w:szCs w:val="28"/>
        </w:rPr>
        <w:t xml:space="preserve"> </w:t>
      </w:r>
      <w:r w:rsidR="005754C7" w:rsidRPr="00BD354C">
        <w:rPr>
          <w:i/>
          <w:iCs/>
          <w:spacing w:val="-2"/>
          <w:sz w:val="28"/>
          <w:szCs w:val="28"/>
        </w:rPr>
        <w:t xml:space="preserve">hành chính </w:t>
      </w:r>
      <w:r w:rsidR="000F0BAB" w:rsidRPr="00BD354C">
        <w:rPr>
          <w:i/>
          <w:iCs/>
          <w:spacing w:val="-2"/>
          <w:sz w:val="28"/>
          <w:szCs w:val="28"/>
        </w:rPr>
        <w:t xml:space="preserve">thuộc tỉnh Hà Giang </w:t>
      </w:r>
      <w:r w:rsidR="005754C7" w:rsidRPr="00BD354C">
        <w:rPr>
          <w:i/>
          <w:iCs/>
          <w:spacing w:val="-2"/>
          <w:sz w:val="28"/>
          <w:szCs w:val="28"/>
        </w:rPr>
        <w:t>(</w:t>
      </w:r>
      <w:r w:rsidR="000F0BAB" w:rsidRPr="00BD354C">
        <w:rPr>
          <w:i/>
          <w:iCs/>
          <w:spacing w:val="-2"/>
          <w:sz w:val="28"/>
          <w:szCs w:val="28"/>
        </w:rPr>
        <w:t>cũ</w:t>
      </w:r>
      <w:r w:rsidR="005754C7" w:rsidRPr="00BD354C">
        <w:rPr>
          <w:i/>
          <w:iCs/>
          <w:spacing w:val="-2"/>
          <w:sz w:val="28"/>
          <w:szCs w:val="28"/>
        </w:rPr>
        <w:t>)</w:t>
      </w:r>
      <w:r w:rsidR="000F0BAB" w:rsidRPr="00BD354C">
        <w:rPr>
          <w:i/>
          <w:iCs/>
          <w:spacing w:val="-2"/>
          <w:sz w:val="28"/>
          <w:szCs w:val="28"/>
        </w:rPr>
        <w:t xml:space="preserve"> thì không được hưởng chính sách thu hút</w:t>
      </w:r>
      <w:r w:rsidR="005754C7" w:rsidRPr="00BD354C">
        <w:rPr>
          <w:i/>
          <w:iCs/>
          <w:spacing w:val="-2"/>
          <w:sz w:val="28"/>
          <w:szCs w:val="28"/>
        </w:rPr>
        <w:t xml:space="preserve"> nguồn nhân lực</w:t>
      </w:r>
      <w:r w:rsidR="000F0BAB" w:rsidRPr="00BD354C">
        <w:rPr>
          <w:i/>
          <w:iCs/>
          <w:spacing w:val="-2"/>
          <w:sz w:val="28"/>
          <w:szCs w:val="28"/>
        </w:rPr>
        <w:t>).</w:t>
      </w:r>
      <w:r w:rsidR="0044593E" w:rsidRPr="00BD354C">
        <w:rPr>
          <w:i/>
          <w:iCs/>
          <w:spacing w:val="-2"/>
          <w:sz w:val="28"/>
          <w:szCs w:val="28"/>
        </w:rPr>
        <w:t xml:space="preserve"> </w:t>
      </w:r>
      <w:bookmarkEnd w:id="7"/>
    </w:p>
    <w:p w14:paraId="7238801B" w14:textId="77777777" w:rsidR="000F0BAB" w:rsidRPr="00BD354C" w:rsidRDefault="000F0BAB"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i/>
          <w:iCs/>
          <w:lang w:val="es-MX"/>
        </w:rPr>
      </w:pPr>
      <w:bookmarkStart w:id="11" w:name="_Hlk221277879"/>
      <w:bookmarkEnd w:id="9"/>
      <w:r w:rsidRPr="00BD354C">
        <w:rPr>
          <w:spacing w:val="8"/>
        </w:rPr>
        <w:t xml:space="preserve">Mặt khác, ngày </w:t>
      </w:r>
      <w:r w:rsidRPr="00BD354C">
        <w:rPr>
          <w:spacing w:val="8"/>
          <w:lang w:val="es-MX"/>
        </w:rPr>
        <w:t>06/10/2025, Bộ Tư pháp đã ban hành Văn bản số 6243/BTP-</w:t>
      </w:r>
      <w:r w:rsidRPr="00BD354C">
        <w:rPr>
          <w:lang w:val="es-MX"/>
        </w:rPr>
        <w:t xml:space="preserve">KTVB&amp;QLXLVPHC về việc xử lý văn bản chịu sự tác động của việc sắp xếp tổ chức bộ máy, trong đó chỉ đạo: </w:t>
      </w:r>
      <w:r w:rsidRPr="00BD354C">
        <w:rPr>
          <w:i/>
          <w:iCs/>
          <w:lang w:val="es-MX"/>
        </w:rPr>
        <w:t xml:space="preserve">“Các địa phương hoàn thành việc sửa đổi, bổ sung, bãi bỏ, thay thế, ban hành mới các văn bản của địa phương chịu sự tác động của việc sắp xếp tổ chức bộ máy </w:t>
      </w:r>
      <w:r w:rsidRPr="00BD354C">
        <w:rPr>
          <w:b/>
          <w:i/>
          <w:iCs/>
          <w:lang w:val="es-MX"/>
        </w:rPr>
        <w:t>trước ngày 01/6/2026”.</w:t>
      </w:r>
    </w:p>
    <w:bookmarkEnd w:id="4"/>
    <w:p w14:paraId="6BC56BDC" w14:textId="35A21EE8" w:rsidR="00BE483C" w:rsidRPr="00BD354C" w:rsidRDefault="00BE483C"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pPr>
      <w:r w:rsidRPr="00BD354C">
        <w:rPr>
          <w:spacing w:val="-2"/>
          <w:lang w:val="vi-VN"/>
        </w:rPr>
        <w:t xml:space="preserve">Từ những </w:t>
      </w:r>
      <w:r w:rsidRPr="00BD354C">
        <w:rPr>
          <w:spacing w:val="-2"/>
        </w:rPr>
        <w:t>nội dung</w:t>
      </w:r>
      <w:r w:rsidRPr="00BD354C">
        <w:rPr>
          <w:spacing w:val="-2"/>
          <w:lang w:val="vi-VN"/>
        </w:rPr>
        <w:t xml:space="preserve"> nêu trên</w:t>
      </w:r>
      <w:r w:rsidRPr="00BD354C">
        <w:rPr>
          <w:spacing w:val="-2"/>
        </w:rPr>
        <w:t xml:space="preserve">, </w:t>
      </w:r>
      <w:r w:rsidRPr="00BD354C">
        <w:t xml:space="preserve">để đảm bảo tính thống nhất của hệ thống pháp luật và tạo môi trường bình đẳng, minh bạch trong công tác tuyển dụng, </w:t>
      </w:r>
      <w:r w:rsidRPr="00BD354C">
        <w:rPr>
          <w:spacing w:val="-2"/>
        </w:rPr>
        <w:t xml:space="preserve">Sở Nội vụ đề nghị </w:t>
      </w:r>
      <w:r w:rsidRPr="00BD354C">
        <w:rPr>
          <w:lang w:val="vi-VN"/>
        </w:rPr>
        <w:t xml:space="preserve">Ủy ban nhân dân tỉnh </w:t>
      </w:r>
      <w:r w:rsidRPr="00BD354C">
        <w:t xml:space="preserve">trình Hội đồng nhân dân tỉnh xem xét, </w:t>
      </w:r>
      <w:r w:rsidRPr="00BD354C">
        <w:rPr>
          <w:lang w:val="vi-VN"/>
        </w:rPr>
        <w:t xml:space="preserve">ban hành </w:t>
      </w:r>
      <w:r w:rsidRPr="00BD354C">
        <w:t>Nghị quyết</w:t>
      </w:r>
      <w:r w:rsidRPr="00BD354C">
        <w:rPr>
          <w:lang w:val="vi-VN"/>
        </w:rPr>
        <w:t xml:space="preserve"> </w:t>
      </w:r>
      <w:r w:rsidRPr="00BD354C">
        <w:t xml:space="preserve">hành chính </w:t>
      </w:r>
      <w:r w:rsidR="004B0D67" w:rsidRPr="00BD354C">
        <w:t>b</w:t>
      </w:r>
      <w:r w:rsidRPr="00BD354C">
        <w:rPr>
          <w:lang w:val="vi-VN"/>
        </w:rPr>
        <w:t xml:space="preserve">ãi bỏ </w:t>
      </w:r>
      <w:r w:rsidRPr="00BD354C">
        <w:rPr>
          <w:lang w:val="pl-PL"/>
        </w:rPr>
        <w:t>02 Nghị quyết</w:t>
      </w:r>
      <w:r w:rsidRPr="00BD354C">
        <w:t xml:space="preserve"> quy phạm pháp luật của Hội đồng nhân dân tỉnh Tuyên Quang trước </w:t>
      </w:r>
      <w:r w:rsidR="00B41C76" w:rsidRPr="00BD354C">
        <w:t>hợp nhất</w:t>
      </w:r>
      <w:r w:rsidRPr="00BD354C">
        <w:t xml:space="preserve"> </w:t>
      </w:r>
      <w:bookmarkStart w:id="12" w:name="_Hlk221108685"/>
      <w:r w:rsidRPr="00BD354C">
        <w:t>theo quy định tại điểm b khoản 2 Điều 54 Luật Ban hành văn bản quy phạm pháp luật số 64/2025/QH15</w:t>
      </w:r>
      <w:r w:rsidR="00D12047" w:rsidRPr="00BD354C">
        <w:t>,</w:t>
      </w:r>
      <w:r w:rsidRPr="00BD354C">
        <w:t xml:space="preserve"> được sửa đổi, bổ sung bởi Luật số 87/2025/QH15</w:t>
      </w:r>
      <w:r w:rsidR="00B06DEF" w:rsidRPr="00BD354C">
        <w:t xml:space="preserve"> là rất cần thiết</w:t>
      </w:r>
      <w:r w:rsidRPr="00BD354C">
        <w:t>.</w:t>
      </w:r>
      <w:bookmarkEnd w:id="12"/>
    </w:p>
    <w:bookmarkEnd w:id="8"/>
    <w:bookmarkEnd w:id="11"/>
    <w:p w14:paraId="7FF1C7C6" w14:textId="0CB834EB" w:rsidR="00E208D2" w:rsidRPr="00BD354C" w:rsidRDefault="00BE483C"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pPr>
      <w:r w:rsidRPr="00BD354C">
        <w:t>Trong thời gian tới</w:t>
      </w:r>
      <w:r w:rsidR="007C64CC" w:rsidRPr="00BD354C">
        <w:t>,</w:t>
      </w:r>
      <w:r w:rsidRPr="00BD354C">
        <w:t xml:space="preserve"> Sở Nội vụ sẽ tiếp tục nghiên cứu</w:t>
      </w:r>
      <w:r w:rsidR="007C64CC" w:rsidRPr="00BD354C">
        <w:t>,</w:t>
      </w:r>
      <w:r w:rsidRPr="00BD354C">
        <w:t xml:space="preserve"> tham mưu, đề xuất Uỷ ban nhân dân tỉnh xem xét, trình Hội đồng nhân dân tỉnh ban hành Nghị quyết </w:t>
      </w:r>
      <w:r w:rsidR="007C64CC" w:rsidRPr="00BD354C">
        <w:t>q</w:t>
      </w:r>
      <w:r w:rsidRPr="00BD354C">
        <w:t>uy định chính sách thu hút nguồn nhân lực chất lượng cao, hỗ trợ đào tạo sau đại học và chính sách đối với người có tài năng trong hoạt động công vụ trên địa bàn tỉnh Tuyên Quang ngay sau khi các cấp có thẩm quyền ban hành văn bản cụ thể hoá nội dung Kết luận số 205-KL/TW ngày 07/11/2025 của Bộ Chính trị.</w:t>
      </w:r>
    </w:p>
    <w:bookmarkEnd w:id="6"/>
    <w:p w14:paraId="11D2DB96" w14:textId="52092F03" w:rsidR="001E248E" w:rsidRPr="00BD354C" w:rsidRDefault="001E248E"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pPr>
    </w:p>
    <w:p w14:paraId="455D5870" w14:textId="77777777" w:rsidR="001E248E" w:rsidRPr="00BD354C" w:rsidRDefault="001E248E"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pPr>
    </w:p>
    <w:bookmarkEnd w:id="5"/>
    <w:p w14:paraId="2A1EBCFE" w14:textId="5BC77B9E"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bCs/>
          <w:lang w:val="nl-NL"/>
        </w:rPr>
      </w:pPr>
      <w:r w:rsidRPr="00BD354C">
        <w:rPr>
          <w:b/>
          <w:bCs/>
          <w:lang w:val="nl-NL"/>
        </w:rPr>
        <w:lastRenderedPageBreak/>
        <w:t xml:space="preserve">II. MỤC ĐÍCH, QUAN ĐIỂM XÂY DỰNG </w:t>
      </w:r>
      <w:r w:rsidR="001B26C7" w:rsidRPr="00BD354C">
        <w:rPr>
          <w:b/>
          <w:bCs/>
          <w:lang w:val="nl-NL"/>
        </w:rPr>
        <w:t>NGHỊ QUYẾT</w:t>
      </w:r>
    </w:p>
    <w:p w14:paraId="784516F0" w14:textId="77777777"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lang w:val="nl-NL"/>
        </w:rPr>
      </w:pPr>
      <w:bookmarkStart w:id="13" w:name="_Hlk221095849"/>
      <w:r w:rsidRPr="00BD354C">
        <w:rPr>
          <w:b/>
          <w:lang w:val="vi-VN"/>
        </w:rPr>
        <w:t>1. Mục đích</w:t>
      </w:r>
    </w:p>
    <w:p w14:paraId="61E7232A" w14:textId="565E16E4" w:rsidR="00A8413E" w:rsidRPr="00BD354C" w:rsidRDefault="00314432"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pPr>
      <w:r w:rsidRPr="00BD354C">
        <w:rPr>
          <w:lang w:val="nl-NL"/>
        </w:rPr>
        <w:t xml:space="preserve">Kịp thời </w:t>
      </w:r>
      <w:r w:rsidR="005D3721" w:rsidRPr="00BD354C">
        <w:rPr>
          <w:lang w:val="nl-NL"/>
        </w:rPr>
        <w:t>bãi bỏ</w:t>
      </w:r>
      <w:r w:rsidR="00E46D95" w:rsidRPr="00BD354C">
        <w:rPr>
          <w:lang w:val="nl-NL"/>
        </w:rPr>
        <w:t xml:space="preserve"> các</w:t>
      </w:r>
      <w:r w:rsidRPr="00BD354C">
        <w:rPr>
          <w:lang w:val="nl-NL"/>
        </w:rPr>
        <w:t xml:space="preserve"> </w:t>
      </w:r>
      <w:r w:rsidR="00E46D95" w:rsidRPr="00BD354C">
        <w:rPr>
          <w:lang w:val="nl-NL"/>
        </w:rPr>
        <w:t>văn bản</w:t>
      </w:r>
      <w:r w:rsidR="00A8413E" w:rsidRPr="00BD354C">
        <w:rPr>
          <w:lang w:val="nl-NL"/>
        </w:rPr>
        <w:t xml:space="preserve"> </w:t>
      </w:r>
      <w:r w:rsidRPr="00BD354C">
        <w:rPr>
          <w:lang w:val="nl-NL"/>
        </w:rPr>
        <w:t xml:space="preserve">quy phạm pháp luật </w:t>
      </w:r>
      <w:r w:rsidR="00C54B8D" w:rsidRPr="00BD354C">
        <w:rPr>
          <w:lang w:val="nl-NL"/>
        </w:rPr>
        <w:t xml:space="preserve">của </w:t>
      </w:r>
      <w:r w:rsidR="001B26C7" w:rsidRPr="00BD354C">
        <w:rPr>
          <w:lang w:val="nl-NL"/>
        </w:rPr>
        <w:t>Hội đồng nhân dân</w:t>
      </w:r>
      <w:r w:rsidR="00C54B8D" w:rsidRPr="00BD354C">
        <w:rPr>
          <w:lang w:val="nl-NL"/>
        </w:rPr>
        <w:t xml:space="preserve"> tỉnh Tuyên Quang trước </w:t>
      </w:r>
      <w:r w:rsidR="00B41C76" w:rsidRPr="00BD354C">
        <w:rPr>
          <w:lang w:val="nl-NL"/>
        </w:rPr>
        <w:t>hợp nhất</w:t>
      </w:r>
      <w:r w:rsidR="00C54B8D" w:rsidRPr="00BD354C">
        <w:rPr>
          <w:lang w:val="nl-NL"/>
        </w:rPr>
        <w:t xml:space="preserve"> </w:t>
      </w:r>
      <w:r w:rsidRPr="00BD354C">
        <w:rPr>
          <w:lang w:val="nl-NL"/>
        </w:rPr>
        <w:t xml:space="preserve">không còn phù hợp với </w:t>
      </w:r>
      <w:r w:rsidR="00A8413E" w:rsidRPr="00BD354C">
        <w:rPr>
          <w:lang w:val="nl-NL"/>
        </w:rPr>
        <w:t xml:space="preserve">thực tiễn về phạm vi điều chỉnh và </w:t>
      </w:r>
      <w:r w:rsidR="00C54B8D" w:rsidRPr="00BD354C">
        <w:rPr>
          <w:spacing w:val="-4"/>
          <w:lang w:val="es-MX"/>
        </w:rPr>
        <w:t>theo đúng chỉ đạo của Bộ Tư pháp tại Văn bản số 6243/BTP-KTVB&amp;QLXLVPHC</w:t>
      </w:r>
      <w:r w:rsidR="00C54B8D" w:rsidRPr="00BD354C">
        <w:rPr>
          <w:lang w:val="es-MX"/>
        </w:rPr>
        <w:t xml:space="preserve"> ngày 06/10/2025; </w:t>
      </w:r>
      <w:r w:rsidRPr="00BD354C">
        <w:rPr>
          <w:lang w:val="nl-NL"/>
        </w:rPr>
        <w:t>qua đó</w:t>
      </w:r>
      <w:r w:rsidR="00C54B8D" w:rsidRPr="00BD354C">
        <w:rPr>
          <w:lang w:val="nl-NL"/>
        </w:rPr>
        <w:t>,</w:t>
      </w:r>
      <w:r w:rsidRPr="00BD354C">
        <w:rPr>
          <w:lang w:val="nl-NL"/>
        </w:rPr>
        <w:t xml:space="preserve"> hoàn thiện hệ thống văn bản quy phạm pháp luật của tỉnh hợp hiến, hợp pháp, thống nhất và đồng bộ</w:t>
      </w:r>
      <w:r w:rsidR="00F93E22" w:rsidRPr="00BD354C">
        <w:rPr>
          <w:lang w:val="nl-NL"/>
        </w:rPr>
        <w:t xml:space="preserve"> trong việc thực hiện </w:t>
      </w:r>
      <w:r w:rsidR="00A8413E" w:rsidRPr="00BD354C">
        <w:t xml:space="preserve">chính sách ưu đãi </w:t>
      </w:r>
      <w:r w:rsidR="00F93E22" w:rsidRPr="00BD354C">
        <w:t xml:space="preserve">trong tuyển dụng </w:t>
      </w:r>
      <w:r w:rsidR="00A8413E" w:rsidRPr="00BD354C">
        <w:t>đối với viên chức y tế, giáo dục</w:t>
      </w:r>
      <w:r w:rsidR="00F93E22" w:rsidRPr="00BD354C">
        <w:t>.</w:t>
      </w:r>
    </w:p>
    <w:p w14:paraId="1B566048" w14:textId="77777777"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lang w:val="vi-VN"/>
        </w:rPr>
      </w:pPr>
      <w:r w:rsidRPr="00BD354C">
        <w:rPr>
          <w:b/>
          <w:lang w:val="vi-VN"/>
        </w:rPr>
        <w:t>2. Quan điểm xây dựng văn bản</w:t>
      </w:r>
    </w:p>
    <w:p w14:paraId="5BB85D8E" w14:textId="77777777"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lang w:val="vi-VN"/>
        </w:rPr>
      </w:pPr>
      <w:r w:rsidRPr="00BD354C">
        <w:rPr>
          <w:lang w:val="vi-VN"/>
        </w:rPr>
        <w:t>- Đảm bảo việc thi hành Hiến pháp, pháp luật.</w:t>
      </w:r>
    </w:p>
    <w:p w14:paraId="4AEA01A7" w14:textId="77777777"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lang w:val="vi-VN"/>
        </w:rPr>
      </w:pPr>
      <w:r w:rsidRPr="00BD354C">
        <w:rPr>
          <w:lang w:val="vi-VN"/>
        </w:rPr>
        <w:t>- Phù hợp với pháp luật về ban hành văn bản quy phạm pháp luật và các văn bản pháp luật có liên quan.</w:t>
      </w:r>
    </w:p>
    <w:p w14:paraId="699D98FD" w14:textId="62F6B7E0" w:rsidR="00E46D95" w:rsidRPr="00BD354C" w:rsidRDefault="00E46D95"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pPr>
      <w:r w:rsidRPr="00BD354C">
        <w:t xml:space="preserve">- </w:t>
      </w:r>
      <w:r w:rsidRPr="00BD354C">
        <w:rPr>
          <w:lang w:val="nl-NL"/>
        </w:rPr>
        <w:t xml:space="preserve">Kịp thời bãi bỏ các văn bản quy phạm pháp luật </w:t>
      </w:r>
      <w:r w:rsidR="0063430B" w:rsidRPr="00BD354C">
        <w:rPr>
          <w:lang w:val="nl-NL"/>
        </w:rPr>
        <w:t xml:space="preserve">do địa phương ban hành </w:t>
      </w:r>
      <w:r w:rsidRPr="00BD354C">
        <w:rPr>
          <w:lang w:val="nl-NL"/>
        </w:rPr>
        <w:t xml:space="preserve">không còn phù hợp với thực tiễn về phạm vi điều chỉnh, góp phần hoàn thiện hệ thống văn bản quy phạm pháp luật của địa phương, tạo sự thống nhất và đồng bộ trong việc thực hiện </w:t>
      </w:r>
      <w:r w:rsidRPr="00BD354C">
        <w:t>chính sách ưu đãi trong tuyển dụng đối với viên chức y tế, giáo dục</w:t>
      </w:r>
      <w:r w:rsidR="005303F0" w:rsidRPr="00BD354C">
        <w:t>.</w:t>
      </w:r>
    </w:p>
    <w:bookmarkEnd w:id="13"/>
    <w:p w14:paraId="61ECFD81" w14:textId="77777777" w:rsidR="00D02328" w:rsidRPr="00BD354C" w:rsidRDefault="00314432" w:rsidP="00E616EE">
      <w:pPr>
        <w:pBdr>
          <w:top w:val="none" w:sz="0" w:space="0" w:color="auto"/>
          <w:left w:val="none" w:sz="0" w:space="0" w:color="auto"/>
          <w:bottom w:val="none" w:sz="0" w:space="0" w:color="auto"/>
          <w:right w:val="none" w:sz="0" w:space="0" w:color="auto"/>
          <w:between w:val="none" w:sz="0" w:space="0" w:color="auto"/>
        </w:pBdr>
        <w:shd w:val="clear" w:color="auto" w:fill="FFFFFF"/>
        <w:spacing w:before="80" w:after="80"/>
        <w:ind w:firstLine="720"/>
        <w:jc w:val="both"/>
        <w:rPr>
          <w:lang w:val="vi-VN"/>
        </w:rPr>
      </w:pPr>
      <w:r w:rsidRPr="00BD354C">
        <w:rPr>
          <w:b/>
          <w:bCs/>
          <w:lang w:val="vi-VN"/>
        </w:rPr>
        <w:t xml:space="preserve">III. QUÁ TRÌNH XÂY DỰNG DỰ THẢO </w:t>
      </w:r>
      <w:r w:rsidR="00E46D95" w:rsidRPr="00BD354C">
        <w:rPr>
          <w:b/>
          <w:bCs/>
        </w:rPr>
        <w:t>NGHỊ QUYẾT</w:t>
      </w:r>
      <w:r w:rsidRPr="00BD354C">
        <w:rPr>
          <w:b/>
          <w:bCs/>
          <w:lang w:val="vi-VN"/>
        </w:rPr>
        <w:t xml:space="preserve"> </w:t>
      </w:r>
    </w:p>
    <w:p w14:paraId="73F87C21" w14:textId="74BBC121" w:rsidR="00A565DA" w:rsidRPr="00BD354C" w:rsidRDefault="00314432" w:rsidP="00E616EE">
      <w:pPr>
        <w:pBdr>
          <w:top w:val="none" w:sz="0" w:space="0" w:color="auto"/>
          <w:left w:val="none" w:sz="0" w:space="0" w:color="auto"/>
          <w:bottom w:val="none" w:sz="0" w:space="0" w:color="auto"/>
          <w:right w:val="none" w:sz="0" w:space="0" w:color="auto"/>
          <w:between w:val="none" w:sz="0" w:space="0" w:color="auto"/>
        </w:pBdr>
        <w:shd w:val="clear" w:color="auto" w:fill="FFFFFF"/>
        <w:spacing w:before="80" w:after="80"/>
        <w:ind w:firstLine="720"/>
        <w:jc w:val="both"/>
        <w:rPr>
          <w:lang w:val="vi-VN"/>
        </w:rPr>
      </w:pPr>
      <w:r w:rsidRPr="00BD354C">
        <w:rPr>
          <w:lang w:val="nb-NO"/>
        </w:rPr>
        <w:t xml:space="preserve">Ngày </w:t>
      </w:r>
      <w:r w:rsidR="00E46D95" w:rsidRPr="00BD354C">
        <w:rPr>
          <w:lang w:val="nb-NO"/>
        </w:rPr>
        <w:t>...../02/2026</w:t>
      </w:r>
      <w:r w:rsidR="00B14B9A" w:rsidRPr="00BD354C">
        <w:rPr>
          <w:lang w:val="vi-VN"/>
        </w:rPr>
        <w:t>,</w:t>
      </w:r>
      <w:r w:rsidRPr="00BD354C">
        <w:rPr>
          <w:lang w:val="nb-NO"/>
        </w:rPr>
        <w:t xml:space="preserve"> Sở </w:t>
      </w:r>
      <w:r w:rsidR="00E46D95" w:rsidRPr="00BD354C">
        <w:rPr>
          <w:lang w:val="nb-NO"/>
        </w:rPr>
        <w:t>Nội vụ</w:t>
      </w:r>
      <w:r w:rsidRPr="00BD354C">
        <w:rPr>
          <w:lang w:val="nb-NO"/>
        </w:rPr>
        <w:t xml:space="preserve"> đã ban hành Văn bản số</w:t>
      </w:r>
      <w:r w:rsidR="00B14B9A" w:rsidRPr="00BD354C">
        <w:rPr>
          <w:lang w:val="vi-VN"/>
        </w:rPr>
        <w:t xml:space="preserve"> </w:t>
      </w:r>
      <w:r w:rsidR="00C54B8D" w:rsidRPr="00BD354C">
        <w:t>…/</w:t>
      </w:r>
      <w:r w:rsidR="00E46D95" w:rsidRPr="00BD354C">
        <w:t>SNV-CCVC</w:t>
      </w:r>
      <w:r w:rsidRPr="00BD354C">
        <w:rPr>
          <w:lang w:val="nb-NO"/>
        </w:rPr>
        <w:t>, đề nghị</w:t>
      </w:r>
      <w:r w:rsidR="00C54B8D" w:rsidRPr="00BD354C">
        <w:rPr>
          <w:lang w:val="nb-NO"/>
        </w:rPr>
        <w:t xml:space="preserve"> các cơ quan chuyên môn thuộc Ủy ban nhân dân tỉnh</w:t>
      </w:r>
      <w:r w:rsidR="00E46D95" w:rsidRPr="00BD354C">
        <w:rPr>
          <w:lang w:val="nb-NO"/>
        </w:rPr>
        <w:t>, Uỷ ban nhân dân xã, phường</w:t>
      </w:r>
      <w:r w:rsidR="00C54B8D" w:rsidRPr="00BD354C">
        <w:rPr>
          <w:lang w:val="nb-NO"/>
        </w:rPr>
        <w:t xml:space="preserve"> tham gia ý kiến đối với dự thảo </w:t>
      </w:r>
      <w:r w:rsidR="00E46D95" w:rsidRPr="00BD354C">
        <w:rPr>
          <w:lang w:val="nb-NO"/>
        </w:rPr>
        <w:t>Nghị quyết</w:t>
      </w:r>
      <w:r w:rsidRPr="00BD354C">
        <w:rPr>
          <w:lang w:val="nb-NO"/>
        </w:rPr>
        <w:t xml:space="preserve">. Kết quả: </w:t>
      </w:r>
      <w:r w:rsidR="00C54B8D" w:rsidRPr="00BD354C">
        <w:rPr>
          <w:lang w:val="nb-NO"/>
        </w:rPr>
        <w:t>....</w:t>
      </w:r>
    </w:p>
    <w:p w14:paraId="35138406" w14:textId="5DDBF917" w:rsidR="00314432" w:rsidRPr="00BD354C" w:rsidRDefault="00314432"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spacing w:val="2"/>
          <w:lang w:val="vi-VN"/>
        </w:rPr>
      </w:pPr>
      <w:r w:rsidRPr="00BD354C">
        <w:rPr>
          <w:spacing w:val="2"/>
          <w:lang w:val="vi-VN"/>
        </w:rPr>
        <w:t>Trên cơ sở các ý kiến tham gia</w:t>
      </w:r>
      <w:r w:rsidR="00C54B8D" w:rsidRPr="00BD354C">
        <w:rPr>
          <w:spacing w:val="2"/>
        </w:rPr>
        <w:t xml:space="preserve"> </w:t>
      </w:r>
      <w:r w:rsidRPr="00BD354C">
        <w:rPr>
          <w:spacing w:val="2"/>
          <w:lang w:val="vi-VN"/>
        </w:rPr>
        <w:t xml:space="preserve">của các cơ quan, </w:t>
      </w:r>
      <w:r w:rsidR="00A90E80" w:rsidRPr="00BD354C">
        <w:rPr>
          <w:spacing w:val="2"/>
        </w:rPr>
        <w:t xml:space="preserve">tổ chức, </w:t>
      </w:r>
      <w:r w:rsidRPr="00BD354C">
        <w:rPr>
          <w:spacing w:val="2"/>
          <w:lang w:val="vi-VN"/>
        </w:rPr>
        <w:t xml:space="preserve">đơn vị, </w:t>
      </w:r>
      <w:r w:rsidR="00A90E80" w:rsidRPr="00BD354C">
        <w:rPr>
          <w:spacing w:val="2"/>
        </w:rPr>
        <w:t>Uỷ ban nh</w:t>
      </w:r>
      <w:r w:rsidR="005303F0" w:rsidRPr="00BD354C">
        <w:rPr>
          <w:spacing w:val="2"/>
        </w:rPr>
        <w:t>â</w:t>
      </w:r>
      <w:r w:rsidR="00A90E80" w:rsidRPr="00BD354C">
        <w:rPr>
          <w:spacing w:val="2"/>
        </w:rPr>
        <w:t xml:space="preserve">n dân các xã, phường, </w:t>
      </w:r>
      <w:r w:rsidRPr="00BD354C">
        <w:rPr>
          <w:spacing w:val="2"/>
          <w:lang w:val="vi-VN"/>
        </w:rPr>
        <w:t xml:space="preserve">Sở </w:t>
      </w:r>
      <w:r w:rsidR="00E46D95" w:rsidRPr="00BD354C">
        <w:rPr>
          <w:spacing w:val="2"/>
        </w:rPr>
        <w:t>Nội vụ</w:t>
      </w:r>
      <w:r w:rsidRPr="00BD354C">
        <w:rPr>
          <w:spacing w:val="2"/>
          <w:lang w:val="vi-VN"/>
        </w:rPr>
        <w:t xml:space="preserve"> đã tổng hợp, giải trình, tiếp thu ý kiến đóng góp, ý kiến thẩm định.</w:t>
      </w:r>
    </w:p>
    <w:p w14:paraId="3D2C51E1" w14:textId="215B71EA" w:rsidR="00DC157A" w:rsidRPr="00BD354C" w:rsidRDefault="00DC157A"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bCs/>
        </w:rPr>
      </w:pPr>
      <w:r w:rsidRPr="00BD354C">
        <w:rPr>
          <w:b/>
          <w:bCs/>
          <w:lang w:val="vi-VN"/>
        </w:rPr>
        <w:t xml:space="preserve">IV. BỐ CỤC VÀ NỘI DUNG DỰ THẢO </w:t>
      </w:r>
      <w:r w:rsidR="00AC3FE3" w:rsidRPr="00BD354C">
        <w:rPr>
          <w:b/>
          <w:bCs/>
        </w:rPr>
        <w:t>NGHỊ QUYẾT</w:t>
      </w:r>
    </w:p>
    <w:p w14:paraId="684E0BCD" w14:textId="693AC77A" w:rsidR="00DC157A" w:rsidRPr="00BD354C" w:rsidRDefault="00DC157A" w:rsidP="00E616EE">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80" w:after="80"/>
        <w:ind w:firstLine="720"/>
        <w:jc w:val="both"/>
        <w:rPr>
          <w:lang w:val="vi-VN"/>
        </w:rPr>
      </w:pPr>
      <w:bookmarkStart w:id="14" w:name="_Hlk221096122"/>
      <w:r w:rsidRPr="00BD354C">
        <w:rPr>
          <w:lang w:val="vi-VN"/>
        </w:rPr>
        <w:t xml:space="preserve">Dự thảo </w:t>
      </w:r>
      <w:r w:rsidR="0063430B" w:rsidRPr="00BD354C">
        <w:t>Nghị q</w:t>
      </w:r>
      <w:r w:rsidRPr="00BD354C">
        <w:rPr>
          <w:lang w:val="vi-VN"/>
        </w:rPr>
        <w:t xml:space="preserve">uyết </w:t>
      </w:r>
      <w:r w:rsidR="0063430B" w:rsidRPr="00BD354C">
        <w:t>gồm</w:t>
      </w:r>
      <w:r w:rsidRPr="00BD354C">
        <w:rPr>
          <w:lang w:val="vi-VN"/>
        </w:rPr>
        <w:t xml:space="preserve"> 0</w:t>
      </w:r>
      <w:r w:rsidR="00AC3FE3" w:rsidRPr="00BD354C">
        <w:t>3</w:t>
      </w:r>
      <w:r w:rsidRPr="00BD354C">
        <w:rPr>
          <w:lang w:val="vi-VN"/>
        </w:rPr>
        <w:t xml:space="preserve"> Điều, cụ thể:</w:t>
      </w:r>
    </w:p>
    <w:p w14:paraId="245A6448" w14:textId="4B4E0649" w:rsidR="00AC3FE3" w:rsidRPr="00BD354C" w:rsidRDefault="00AC3FE3"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rPr>
      </w:pPr>
      <w:bookmarkStart w:id="15" w:name="_Hlk221276553"/>
      <w:r w:rsidRPr="00BD354C">
        <w:rPr>
          <w:b/>
        </w:rPr>
        <w:t xml:space="preserve">- Điều 1. </w:t>
      </w:r>
      <w:bookmarkStart w:id="16" w:name="_Hlk221095999"/>
      <w:r w:rsidRPr="00BD354C">
        <w:rPr>
          <w:b/>
        </w:rPr>
        <w:t>Bãi bỏ toàn bộ 02 Nghị quyết</w:t>
      </w:r>
      <w:bookmarkStart w:id="17" w:name="_Hlk220587350"/>
      <w:r w:rsidRPr="00BD354C">
        <w:rPr>
          <w:b/>
        </w:rPr>
        <w:t xml:space="preserve"> quy phạm pháp luật của Hội đồng nhân dân tỉnh Tuyên Quang trước </w:t>
      </w:r>
      <w:bookmarkEnd w:id="16"/>
      <w:bookmarkEnd w:id="17"/>
      <w:r w:rsidR="00B41C76" w:rsidRPr="00BD354C">
        <w:rPr>
          <w:b/>
        </w:rPr>
        <w:t>hợp nhất</w:t>
      </w:r>
      <w:r w:rsidRPr="00BD354C">
        <w:rPr>
          <w:b/>
        </w:rPr>
        <w:t>, gồm:</w:t>
      </w:r>
    </w:p>
    <w:p w14:paraId="195083A9" w14:textId="57434BD1" w:rsidR="001F28AD" w:rsidRPr="00BD354C" w:rsidRDefault="001F28AD" w:rsidP="001F28AD">
      <w:pPr>
        <w:spacing w:before="120" w:after="120" w:line="360" w:lineRule="exact"/>
        <w:ind w:firstLine="720"/>
        <w:jc w:val="both"/>
        <w:rPr>
          <w:lang w:val="nl-NL"/>
        </w:rPr>
      </w:pPr>
      <w:bookmarkStart w:id="18" w:name="_Hlk221090564"/>
      <w:r w:rsidRPr="00BD354C">
        <w:rPr>
          <w:bCs/>
        </w:rPr>
        <w:t xml:space="preserve">(1) Nghị quyết số 12/2021/NQ-HĐND ngày 20 tháng 12 năm 2021 </w:t>
      </w:r>
      <w:r w:rsidRPr="00BD354C">
        <w:t>của Hội đồng nhân dân tỉnh</w:t>
      </w:r>
      <w:r w:rsidRPr="00BD354C">
        <w:rPr>
          <w:bCs/>
        </w:rPr>
        <w:t xml:space="preserve"> quy định chính sách thu hút nguồn nhân lực, hỗ trợ đào tạo sau đại học, nâng cao trình độ ngoại ngữ</w:t>
      </w:r>
      <w:r w:rsidRPr="00BD354C">
        <w:rPr>
          <w:lang w:val="nl-NL"/>
        </w:rPr>
        <w:t>.</w:t>
      </w:r>
    </w:p>
    <w:p w14:paraId="40D7A2AA" w14:textId="6A2E3546" w:rsidR="001F28AD" w:rsidRPr="00BD354C" w:rsidRDefault="001F28AD" w:rsidP="001F28AD">
      <w:pPr>
        <w:spacing w:before="120" w:after="120" w:line="360" w:lineRule="exact"/>
        <w:ind w:firstLine="720"/>
        <w:jc w:val="both"/>
        <w:rPr>
          <w:lang w:val="nl-NL"/>
        </w:rPr>
      </w:pPr>
      <w:r w:rsidRPr="00BD354C">
        <w:rPr>
          <w:bCs/>
        </w:rPr>
        <w:t xml:space="preserve">(2) Nghị quyết số 03/2023/NQ-HĐND ngày 06 tháng 7 năm 2023 </w:t>
      </w:r>
      <w:r w:rsidRPr="00BD354C">
        <w:t>của Hội đồng nhân dân tỉnh</w:t>
      </w:r>
      <w:r w:rsidRPr="00BD354C">
        <w:rPr>
          <w:lang w:val="nl-NL"/>
        </w:rPr>
        <w:t xml:space="preserve"> sửa đổi, bổ sung </w:t>
      </w:r>
      <w:r w:rsidRPr="00BD354C">
        <w:rPr>
          <w:bCs/>
        </w:rPr>
        <w:t xml:space="preserve">Nghị quyết số 12/2021/NQ-HĐND ngày 20 tháng 12 năm 2021 </w:t>
      </w:r>
      <w:r w:rsidRPr="00BD354C">
        <w:t>của Hội đồng nhân dân tỉnh</w:t>
      </w:r>
      <w:r w:rsidRPr="00BD354C">
        <w:rPr>
          <w:bCs/>
        </w:rPr>
        <w:t xml:space="preserve"> quy định chính sách thu hút nguồn nhân lực, hỗ trợ đào tạo sau đại học, nâng cao trình độ ngoại ngữ</w:t>
      </w:r>
      <w:r w:rsidRPr="00BD354C">
        <w:rPr>
          <w:lang w:val="nl-NL"/>
        </w:rPr>
        <w:t>.</w:t>
      </w:r>
    </w:p>
    <w:p w14:paraId="00E7EE1D" w14:textId="0807ED6D" w:rsidR="001F28AD" w:rsidRPr="00BD354C" w:rsidRDefault="001F28AD" w:rsidP="001F28AD">
      <w:pPr>
        <w:spacing w:before="120" w:after="120" w:line="360" w:lineRule="exact"/>
        <w:ind w:firstLine="720"/>
        <w:jc w:val="both"/>
        <w:rPr>
          <w:b/>
        </w:rPr>
      </w:pPr>
      <w:r w:rsidRPr="00BD354C">
        <w:rPr>
          <w:b/>
        </w:rPr>
        <w:t>- Điều 2. Điều khoản chuyển tiếp</w:t>
      </w:r>
    </w:p>
    <w:p w14:paraId="20AE8ACE" w14:textId="10CF86A8" w:rsidR="001F28AD" w:rsidRPr="00BD354C" w:rsidRDefault="002B5333" w:rsidP="001F28AD">
      <w:pPr>
        <w:pBdr>
          <w:top w:val="none" w:sz="0" w:space="0" w:color="auto"/>
          <w:left w:val="none" w:sz="0" w:space="0" w:color="auto"/>
          <w:bottom w:val="none" w:sz="0" w:space="0" w:color="auto"/>
          <w:right w:val="none" w:sz="0" w:space="0" w:color="auto"/>
          <w:between w:val="none" w:sz="0" w:space="0" w:color="auto"/>
        </w:pBdr>
        <w:spacing w:before="80" w:after="80"/>
        <w:ind w:firstLine="720"/>
        <w:jc w:val="both"/>
      </w:pPr>
      <w:r w:rsidRPr="00BD354C">
        <w:rPr>
          <w:iCs/>
          <w:lang w:val="nl-NL" w:eastAsia="vi-VN"/>
        </w:rPr>
        <w:t xml:space="preserve">Đối với các trường hợp đủ điều kiện hỗ trợ thu hút nguồn nhân lực </w:t>
      </w:r>
      <w:r w:rsidRPr="00BD354C">
        <w:rPr>
          <w:i/>
          <w:lang w:val="nl-NL" w:eastAsia="vi-VN"/>
        </w:rPr>
        <w:t>(trường hợp đã có Quyết định tuyển dụng)</w:t>
      </w:r>
      <w:r w:rsidRPr="00BD354C">
        <w:rPr>
          <w:iCs/>
          <w:lang w:val="nl-NL" w:eastAsia="vi-VN"/>
        </w:rPr>
        <w:t xml:space="preserve"> và hỗ trợ đào tạo sau đại học </w:t>
      </w:r>
      <w:r w:rsidRPr="00BD354C">
        <w:rPr>
          <w:i/>
          <w:lang w:val="nl-NL" w:eastAsia="vi-VN"/>
        </w:rPr>
        <w:t>(trường hợp đã có Quyết định cử đi đào tạo sau đại học và trường hợp đã được hỗ trợ lần đầu)</w:t>
      </w:r>
      <w:r w:rsidRPr="00BD354C">
        <w:rPr>
          <w:iCs/>
          <w:lang w:val="nl-NL" w:eastAsia="vi-VN"/>
        </w:rPr>
        <w:t xml:space="preserve"> </w:t>
      </w:r>
      <w:r w:rsidR="001F28AD" w:rsidRPr="00BD354C">
        <w:rPr>
          <w:iCs/>
          <w:lang w:val="nl-NL" w:eastAsia="vi-VN"/>
        </w:rPr>
        <w:t xml:space="preserve">trước ngày Nghị quyết này có hiệu lực thi hành thì tiếp tục được thực hiện theo </w:t>
      </w:r>
      <w:r w:rsidR="001F28AD" w:rsidRPr="00BD354C">
        <w:rPr>
          <w:iCs/>
          <w:lang w:val="nl-NL" w:eastAsia="vi-VN"/>
        </w:rPr>
        <w:lastRenderedPageBreak/>
        <w:t xml:space="preserve">quy định tại Nghị quyết số 12/2021/NQ-HĐND ngày 20/12/2021 </w:t>
      </w:r>
      <w:r w:rsidR="001F28AD" w:rsidRPr="00BD354C">
        <w:rPr>
          <w:i/>
          <w:lang w:val="nl-NL" w:eastAsia="vi-VN"/>
        </w:rPr>
        <w:t>(</w:t>
      </w:r>
      <w:r w:rsidR="001F28AD" w:rsidRPr="00BD354C">
        <w:rPr>
          <w:i/>
        </w:rPr>
        <w:t xml:space="preserve">được sửa đổi, bổ sung tại Nghị quyết số 03/2023/NQ-HĐND ngày 06/7/2023) </w:t>
      </w:r>
      <w:r w:rsidR="001F28AD" w:rsidRPr="00BD354C">
        <w:t xml:space="preserve">của Hội đồng nhân dân tỉnh Tuyên Quang trước </w:t>
      </w:r>
      <w:r w:rsidR="00B41C76" w:rsidRPr="00BD354C">
        <w:t>hợp nhất</w:t>
      </w:r>
      <w:r w:rsidR="001F28AD" w:rsidRPr="00BD354C">
        <w:t xml:space="preserve">. </w:t>
      </w:r>
    </w:p>
    <w:p w14:paraId="55BB195F" w14:textId="38BDD49D" w:rsidR="001F28AD" w:rsidRPr="00BD354C" w:rsidRDefault="001F28AD" w:rsidP="001F28AD">
      <w:pPr>
        <w:spacing w:before="120" w:after="120" w:line="360" w:lineRule="exact"/>
        <w:ind w:firstLine="720"/>
        <w:jc w:val="both"/>
        <w:rPr>
          <w:b/>
          <w:bCs/>
        </w:rPr>
      </w:pPr>
      <w:r w:rsidRPr="00BD354C">
        <w:rPr>
          <w:b/>
          <w:bCs/>
        </w:rPr>
        <w:t>- Điều 3. Tổ chức thực hiện</w:t>
      </w:r>
    </w:p>
    <w:bookmarkEnd w:id="15"/>
    <w:bookmarkEnd w:id="18"/>
    <w:p w14:paraId="510DE93C" w14:textId="6E919564" w:rsidR="009A2322" w:rsidRPr="00BD354C" w:rsidRDefault="00B63AF8"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b/>
        </w:rPr>
      </w:pPr>
      <w:r w:rsidRPr="00BD354C">
        <w:rPr>
          <w:bCs/>
          <w:spacing w:val="-4"/>
          <w:lang w:val="nb-NO"/>
        </w:rPr>
        <w:t>D</w:t>
      </w:r>
      <w:r w:rsidRPr="00BD354C">
        <w:rPr>
          <w:bCs/>
          <w:spacing w:val="-4"/>
          <w:lang w:val="vi-VN"/>
        </w:rPr>
        <w:t xml:space="preserve">ự thảo </w:t>
      </w:r>
      <w:r w:rsidR="00AC3FE3" w:rsidRPr="00BD354C">
        <w:rPr>
          <w:bCs/>
          <w:spacing w:val="-4"/>
          <w:lang w:val="nb-NO"/>
        </w:rPr>
        <w:t>Nghị quyết</w:t>
      </w:r>
      <w:r w:rsidRPr="00BD354C">
        <w:rPr>
          <w:bCs/>
          <w:spacing w:val="-4"/>
          <w:lang w:val="vi-VN"/>
        </w:rPr>
        <w:t xml:space="preserve"> đã được tổ chức soạn thảo, lấy ý kiến tham gia</w:t>
      </w:r>
      <w:r w:rsidRPr="00BD354C">
        <w:rPr>
          <w:bCs/>
          <w:spacing w:val="-4"/>
          <w:lang w:val="nb-NO"/>
        </w:rPr>
        <w:t xml:space="preserve"> của các cơ quan, </w:t>
      </w:r>
      <w:r w:rsidR="00A90E80" w:rsidRPr="00BD354C">
        <w:rPr>
          <w:bCs/>
          <w:spacing w:val="-4"/>
          <w:lang w:val="nb-NO"/>
        </w:rPr>
        <w:t xml:space="preserve">tổ chức, </w:t>
      </w:r>
      <w:r w:rsidRPr="00BD354C">
        <w:rPr>
          <w:bCs/>
          <w:spacing w:val="-4"/>
          <w:lang w:val="nb-NO"/>
        </w:rPr>
        <w:t>đơn vị</w:t>
      </w:r>
      <w:r w:rsidR="00A90E80" w:rsidRPr="00BD354C">
        <w:rPr>
          <w:bCs/>
          <w:spacing w:val="-4"/>
          <w:lang w:val="nb-NO"/>
        </w:rPr>
        <w:t>, Uỷ ban nhân dân xã, phường</w:t>
      </w:r>
      <w:r w:rsidRPr="00BD354C">
        <w:rPr>
          <w:bCs/>
          <w:spacing w:val="-4"/>
          <w:lang w:val="nb-NO"/>
        </w:rPr>
        <w:t xml:space="preserve"> có liên quan</w:t>
      </w:r>
      <w:r w:rsidRPr="00BD354C">
        <w:rPr>
          <w:bCs/>
          <w:spacing w:val="-4"/>
          <w:lang w:val="vi-VN"/>
        </w:rPr>
        <w:t xml:space="preserve">; </w:t>
      </w:r>
      <w:r w:rsidRPr="00BD354C">
        <w:rPr>
          <w:bCs/>
          <w:spacing w:val="-4"/>
          <w:lang w:val="nb-NO"/>
        </w:rPr>
        <w:t>việc ban hành dự thảo</w:t>
      </w:r>
      <w:r w:rsidRPr="00BD354C">
        <w:rPr>
          <w:bCs/>
          <w:spacing w:val="-4"/>
          <w:lang w:val="vi-VN"/>
        </w:rPr>
        <w:t xml:space="preserve"> </w:t>
      </w:r>
      <w:r w:rsidR="00AC3FE3" w:rsidRPr="00BD354C">
        <w:rPr>
          <w:bCs/>
          <w:spacing w:val="-4"/>
          <w:lang w:val="nb-NO"/>
        </w:rPr>
        <w:t>Nghị quyết</w:t>
      </w:r>
      <w:r w:rsidRPr="00BD354C">
        <w:rPr>
          <w:bCs/>
          <w:spacing w:val="-4"/>
          <w:lang w:val="vi-VN"/>
        </w:rPr>
        <w:t xml:space="preserve"> đảm bảo đúng thẩm quyền ban hành của </w:t>
      </w:r>
      <w:r w:rsidR="00AC3FE3" w:rsidRPr="00BD354C">
        <w:rPr>
          <w:bCs/>
          <w:spacing w:val="-4"/>
          <w:lang w:val="nb-NO"/>
        </w:rPr>
        <w:t>Hội đồng</w:t>
      </w:r>
      <w:r w:rsidRPr="00BD354C">
        <w:rPr>
          <w:bCs/>
          <w:spacing w:val="-4"/>
          <w:lang w:val="nb-NO"/>
        </w:rPr>
        <w:t xml:space="preserve"> nhân dân</w:t>
      </w:r>
      <w:r w:rsidRPr="00BD354C">
        <w:rPr>
          <w:bCs/>
          <w:spacing w:val="-4"/>
          <w:lang w:val="vi-VN"/>
        </w:rPr>
        <w:t xml:space="preserve"> tỉnh và có nội dung phù hợp với quy định của pháp luật hiện hành, đủ điều kiện </w:t>
      </w:r>
      <w:r w:rsidR="00AC3FE3" w:rsidRPr="00BD354C">
        <w:rPr>
          <w:bCs/>
          <w:spacing w:val="-4"/>
        </w:rPr>
        <w:t xml:space="preserve">trình Hội đồng nhân dân tỉnh </w:t>
      </w:r>
      <w:r w:rsidRPr="00BD354C">
        <w:rPr>
          <w:bCs/>
          <w:spacing w:val="-4"/>
          <w:lang w:val="vi-VN"/>
        </w:rPr>
        <w:t xml:space="preserve">xem xét, ban hành. </w:t>
      </w:r>
    </w:p>
    <w:bookmarkEnd w:id="14"/>
    <w:p w14:paraId="091EA598" w14:textId="43534CF0" w:rsidR="00AC3FE3" w:rsidRPr="00BD354C" w:rsidRDefault="00AC3FE3"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lang w:val="nl-NL"/>
        </w:rPr>
      </w:pPr>
      <w:r w:rsidRPr="00BD354C">
        <w:t xml:space="preserve">Sở Nội vụ trân trọng kính trình Uỷ ban nhân dân tỉnh xem xét, trình Hội đồng nhân dân tỉnh </w:t>
      </w:r>
      <w:bookmarkStart w:id="19" w:name="_Hlk221096298"/>
      <w:r w:rsidRPr="00BD354C">
        <w:t xml:space="preserve">ban hành Nghị quyết </w:t>
      </w:r>
      <w:r w:rsidR="00550CD1" w:rsidRPr="00BD354C">
        <w:rPr>
          <w:lang w:val="pl-PL"/>
        </w:rPr>
        <w:t>b</w:t>
      </w:r>
      <w:r w:rsidR="0071718B" w:rsidRPr="00BD354C">
        <w:rPr>
          <w:lang w:val="pl-PL"/>
        </w:rPr>
        <w:t xml:space="preserve">ãi bỏ </w:t>
      </w:r>
      <w:r w:rsidR="0071718B" w:rsidRPr="00BD354C">
        <w:rPr>
          <w:bCs/>
        </w:rPr>
        <w:t xml:space="preserve">Nghị quyết số 12/2021/NQ-HĐND ngày 20 tháng 12 năm 2021 </w:t>
      </w:r>
      <w:bookmarkStart w:id="20" w:name="_Hlk221276722"/>
      <w:r w:rsidR="00441849" w:rsidRPr="00BD354C">
        <w:rPr>
          <w:bCs/>
        </w:rPr>
        <w:t xml:space="preserve">của Hội đồng nhân dân tỉnh </w:t>
      </w:r>
      <w:bookmarkEnd w:id="20"/>
      <w:r w:rsidR="00550CD1" w:rsidRPr="00BD354C">
        <w:rPr>
          <w:bCs/>
        </w:rPr>
        <w:t>q</w:t>
      </w:r>
      <w:r w:rsidR="0071718B" w:rsidRPr="00BD354C">
        <w:rPr>
          <w:bCs/>
        </w:rPr>
        <w:t>uy định chính sách thu hút nguồn nhân lực, hỗ trợ đào tạo sau đại học, nâng cao trình độ ngoại ngữ</w:t>
      </w:r>
      <w:r w:rsidR="0071718B" w:rsidRPr="00BD354C">
        <w:rPr>
          <w:lang w:val="nl-NL"/>
        </w:rPr>
        <w:t xml:space="preserve"> và </w:t>
      </w:r>
      <w:r w:rsidR="0071718B" w:rsidRPr="00BD354C">
        <w:rPr>
          <w:bCs/>
        </w:rPr>
        <w:t xml:space="preserve">Nghị quyết số 03/2023/NQ-HĐND ngày 06 tháng 7 năm 2023 </w:t>
      </w:r>
      <w:r w:rsidR="00441849" w:rsidRPr="00BD354C">
        <w:rPr>
          <w:bCs/>
        </w:rPr>
        <w:t xml:space="preserve">của Hội đồng nhân dân tỉnh </w:t>
      </w:r>
      <w:r w:rsidR="00E67765" w:rsidRPr="00BD354C">
        <w:rPr>
          <w:lang w:val="nl-NL"/>
        </w:rPr>
        <w:t>sửa</w:t>
      </w:r>
      <w:r w:rsidR="0071718B" w:rsidRPr="00BD354C">
        <w:rPr>
          <w:lang w:val="nl-NL"/>
        </w:rPr>
        <w:t xml:space="preserve"> đổi, bổ sung </w:t>
      </w:r>
      <w:r w:rsidR="0071718B" w:rsidRPr="00BD354C">
        <w:rPr>
          <w:bCs/>
        </w:rPr>
        <w:t xml:space="preserve">Nghị quyết số 12/2021/NQ-HĐND ngày 20 tháng 12 năm 2021 </w:t>
      </w:r>
      <w:r w:rsidR="00441849" w:rsidRPr="00BD354C">
        <w:rPr>
          <w:bCs/>
        </w:rPr>
        <w:t xml:space="preserve">của Hội đồng nhân dân tỉnh </w:t>
      </w:r>
      <w:r w:rsidR="00550CD1" w:rsidRPr="00BD354C">
        <w:rPr>
          <w:bCs/>
        </w:rPr>
        <w:t>q</w:t>
      </w:r>
      <w:r w:rsidR="0071718B" w:rsidRPr="00BD354C">
        <w:rPr>
          <w:bCs/>
        </w:rPr>
        <w:t>uy định chính sách thu hút nguồn nhân lực, hỗ trợ đào tạo sau đại học, nâng cao trình độ ngoại ngữ</w:t>
      </w:r>
      <w:r w:rsidR="0071718B" w:rsidRPr="00BD354C">
        <w:rPr>
          <w:lang w:val="nl-NL"/>
        </w:rPr>
        <w:t xml:space="preserve"> </w:t>
      </w:r>
      <w:r w:rsidR="0071718B" w:rsidRPr="00BD354C">
        <w:t xml:space="preserve">của Hội đồng nhân dân tỉnh Tuyên Quang trước </w:t>
      </w:r>
      <w:r w:rsidR="000F76F2" w:rsidRPr="00BD354C">
        <w:t>hợp nhất</w:t>
      </w:r>
      <w:r w:rsidR="0071718B" w:rsidRPr="00BD354C">
        <w:rPr>
          <w:lang w:val="pl-PL"/>
        </w:rPr>
        <w:t>.</w:t>
      </w:r>
      <w:r w:rsidR="00441849" w:rsidRPr="00BD354C">
        <w:rPr>
          <w:lang w:val="pl-PL"/>
        </w:rPr>
        <w:t xml:space="preserve"> </w:t>
      </w:r>
    </w:p>
    <w:bookmarkEnd w:id="19"/>
    <w:p w14:paraId="2C1C333D" w14:textId="1D4A0065" w:rsidR="00C30235" w:rsidRPr="00BD354C" w:rsidRDefault="000555A2"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i/>
          <w:lang w:val="nl-NL"/>
        </w:rPr>
      </w:pPr>
      <w:r w:rsidRPr="00BD354C">
        <w:rPr>
          <w:i/>
          <w:lang w:val="nl-NL"/>
        </w:rPr>
        <w:t>Hồ sơ kèm theo Tờ trình, gồm:</w:t>
      </w:r>
    </w:p>
    <w:p w14:paraId="1736E76C" w14:textId="77777777" w:rsidR="00281D3D" w:rsidRPr="00BD354C" w:rsidRDefault="000B376B" w:rsidP="00281D3D">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i/>
          <w:iCs/>
          <w:lang w:val="pl-PL"/>
        </w:rPr>
      </w:pPr>
      <w:r w:rsidRPr="00BD354C">
        <w:rPr>
          <w:i/>
          <w:lang w:val="nl-NL"/>
        </w:rPr>
        <w:t xml:space="preserve">(1) Dự thảo Tờ trình của </w:t>
      </w:r>
      <w:r w:rsidR="00B576F4" w:rsidRPr="00BD354C">
        <w:rPr>
          <w:i/>
          <w:lang w:val="nl-NL"/>
        </w:rPr>
        <w:t>Uỷ ban nhân dân tỉnh trình</w:t>
      </w:r>
      <w:r w:rsidR="00B576F4" w:rsidRPr="00BD354C">
        <w:rPr>
          <w:i/>
          <w:lang w:val="pl-PL"/>
        </w:rPr>
        <w:t xml:space="preserve"> Hội đồng nhân dân tỉnh ban hành Nghị quyết </w:t>
      </w:r>
      <w:r w:rsidR="00550CD1" w:rsidRPr="00BD354C">
        <w:rPr>
          <w:i/>
          <w:lang w:val="pl-PL"/>
        </w:rPr>
        <w:t>b</w:t>
      </w:r>
      <w:r w:rsidR="00B576F4" w:rsidRPr="00BD354C">
        <w:rPr>
          <w:i/>
          <w:lang w:val="pl-PL"/>
        </w:rPr>
        <w:t xml:space="preserve">ãi bỏ 02 </w:t>
      </w:r>
      <w:r w:rsidR="00281D3D" w:rsidRPr="00BD354C">
        <w:rPr>
          <w:i/>
          <w:iCs/>
          <w:lang w:val="pl-PL"/>
        </w:rPr>
        <w:t xml:space="preserve">Nghị quyết quy phạm pháp luật của Hội đồng nhân dân tỉnh Tuyên Quang </w:t>
      </w:r>
      <w:r w:rsidR="00281D3D" w:rsidRPr="00BD354C">
        <w:rPr>
          <w:i/>
          <w:iCs/>
          <w:spacing w:val="4"/>
        </w:rPr>
        <w:t>có phạm vi áp dụng</w:t>
      </w:r>
      <w:r w:rsidR="00281D3D" w:rsidRPr="00BD354C">
        <w:rPr>
          <w:i/>
          <w:iCs/>
          <w:lang w:val="pl-PL"/>
        </w:rPr>
        <w:t xml:space="preserve"> </w:t>
      </w:r>
      <w:r w:rsidR="00281D3D" w:rsidRPr="00BD354C">
        <w:rPr>
          <w:i/>
          <w:iCs/>
          <w:spacing w:val="4"/>
        </w:rPr>
        <w:t xml:space="preserve">đối với </w:t>
      </w:r>
      <w:r w:rsidR="00281D3D" w:rsidRPr="00BD354C">
        <w:rPr>
          <w:i/>
          <w:iCs/>
        </w:rPr>
        <w:t>đơn vị hành chính tỉnh Tuyên Quang</w:t>
      </w:r>
      <w:r w:rsidR="00281D3D" w:rsidRPr="00BD354C">
        <w:rPr>
          <w:i/>
          <w:iCs/>
          <w:spacing w:val="4"/>
        </w:rPr>
        <w:t xml:space="preserve"> trước hợp nhất.</w:t>
      </w:r>
    </w:p>
    <w:p w14:paraId="58C33E35" w14:textId="3058C8FE" w:rsidR="00B87BA5" w:rsidRPr="00BD354C" w:rsidRDefault="000555A2" w:rsidP="00B87BA5">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i/>
          <w:iCs/>
          <w:lang w:val="pl-PL"/>
        </w:rPr>
      </w:pPr>
      <w:r w:rsidRPr="00BD354C">
        <w:rPr>
          <w:i/>
          <w:iCs/>
          <w:lang w:val="pl-PL"/>
        </w:rPr>
        <w:t>(</w:t>
      </w:r>
      <w:r w:rsidR="00B576F4" w:rsidRPr="00BD354C">
        <w:rPr>
          <w:i/>
          <w:iCs/>
          <w:lang w:val="pl-PL"/>
        </w:rPr>
        <w:t>2</w:t>
      </w:r>
      <w:r w:rsidRPr="00BD354C">
        <w:rPr>
          <w:i/>
          <w:iCs/>
          <w:lang w:val="pl-PL"/>
        </w:rPr>
        <w:t xml:space="preserve">) </w:t>
      </w:r>
      <w:bookmarkStart w:id="21" w:name="_Hlk221096317"/>
      <w:bookmarkStart w:id="22" w:name="_Hlk221276764"/>
      <w:r w:rsidRPr="00BD354C">
        <w:rPr>
          <w:i/>
          <w:iCs/>
          <w:lang w:val="nl-NL"/>
        </w:rPr>
        <w:t xml:space="preserve">Dự thảo </w:t>
      </w:r>
      <w:r w:rsidR="00365060" w:rsidRPr="00BD354C">
        <w:rPr>
          <w:i/>
          <w:iCs/>
          <w:lang w:val="pl-PL"/>
        </w:rPr>
        <w:t>Nghị quyết</w:t>
      </w:r>
      <w:r w:rsidR="001C7CB0" w:rsidRPr="00BD354C">
        <w:rPr>
          <w:i/>
          <w:iCs/>
          <w:lang w:val="pl-PL"/>
        </w:rPr>
        <w:t xml:space="preserve"> của </w:t>
      </w:r>
      <w:r w:rsidR="00365060" w:rsidRPr="00BD354C">
        <w:rPr>
          <w:i/>
          <w:iCs/>
          <w:lang w:val="pl-PL"/>
        </w:rPr>
        <w:t>Hội đồng</w:t>
      </w:r>
      <w:r w:rsidR="001C7CB0" w:rsidRPr="00BD354C">
        <w:rPr>
          <w:i/>
          <w:iCs/>
          <w:lang w:val="pl-PL"/>
        </w:rPr>
        <w:t xml:space="preserve"> nhân dân tỉnh</w:t>
      </w:r>
      <w:r w:rsidR="00990A65" w:rsidRPr="00BD354C">
        <w:rPr>
          <w:i/>
          <w:iCs/>
          <w:lang w:val="pl-PL"/>
        </w:rPr>
        <w:t xml:space="preserve"> </w:t>
      </w:r>
      <w:r w:rsidR="00550CD1" w:rsidRPr="00BD354C">
        <w:rPr>
          <w:i/>
          <w:iCs/>
          <w:lang w:val="pl-PL"/>
        </w:rPr>
        <w:t>b</w:t>
      </w:r>
      <w:r w:rsidR="00990A65" w:rsidRPr="00BD354C">
        <w:rPr>
          <w:i/>
          <w:iCs/>
          <w:lang w:val="pl-PL"/>
        </w:rPr>
        <w:t>ãi bỏ</w:t>
      </w:r>
      <w:r w:rsidR="001C7CB0" w:rsidRPr="00BD354C">
        <w:rPr>
          <w:i/>
          <w:iCs/>
          <w:lang w:val="pl-PL"/>
        </w:rPr>
        <w:t xml:space="preserve"> </w:t>
      </w:r>
      <w:r w:rsidR="00365060" w:rsidRPr="00BD354C">
        <w:rPr>
          <w:i/>
          <w:iCs/>
          <w:lang w:val="pl-PL"/>
        </w:rPr>
        <w:t>02 Nghị quyết</w:t>
      </w:r>
      <w:r w:rsidR="00990A65" w:rsidRPr="00BD354C">
        <w:rPr>
          <w:i/>
          <w:iCs/>
          <w:lang w:val="pl-PL"/>
        </w:rPr>
        <w:t xml:space="preserve"> quy phạm pháp luật của </w:t>
      </w:r>
      <w:r w:rsidR="00365060" w:rsidRPr="00BD354C">
        <w:rPr>
          <w:i/>
          <w:iCs/>
          <w:lang w:val="pl-PL"/>
        </w:rPr>
        <w:t>Hội đồng</w:t>
      </w:r>
      <w:r w:rsidR="00990A65" w:rsidRPr="00BD354C">
        <w:rPr>
          <w:i/>
          <w:iCs/>
          <w:lang w:val="pl-PL"/>
        </w:rPr>
        <w:t xml:space="preserve"> nhân dân tỉnh Tuyên Quang </w:t>
      </w:r>
      <w:bookmarkEnd w:id="21"/>
      <w:r w:rsidR="00B87BA5" w:rsidRPr="00BD354C">
        <w:rPr>
          <w:i/>
          <w:iCs/>
          <w:spacing w:val="4"/>
        </w:rPr>
        <w:t>có phạm vi áp dụng</w:t>
      </w:r>
      <w:r w:rsidR="00B87BA5" w:rsidRPr="00BD354C">
        <w:rPr>
          <w:i/>
          <w:iCs/>
          <w:lang w:val="pl-PL"/>
        </w:rPr>
        <w:t xml:space="preserve"> </w:t>
      </w:r>
      <w:r w:rsidR="00B87BA5" w:rsidRPr="00BD354C">
        <w:rPr>
          <w:i/>
          <w:iCs/>
          <w:spacing w:val="4"/>
        </w:rPr>
        <w:t xml:space="preserve">đối với </w:t>
      </w:r>
      <w:r w:rsidR="00B87BA5" w:rsidRPr="00BD354C">
        <w:rPr>
          <w:i/>
          <w:iCs/>
        </w:rPr>
        <w:t>đơn vị hành chính tỉnh Tuyên Quang</w:t>
      </w:r>
      <w:r w:rsidR="00B87BA5" w:rsidRPr="00BD354C">
        <w:rPr>
          <w:i/>
          <w:iCs/>
          <w:spacing w:val="4"/>
        </w:rPr>
        <w:t xml:space="preserve"> trước hợp nhất.</w:t>
      </w:r>
    </w:p>
    <w:p w14:paraId="03ADE8C5" w14:textId="533B5B9F" w:rsidR="00D02328" w:rsidRPr="00BD354C" w:rsidRDefault="00D02328"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i/>
          <w:spacing w:val="-2"/>
          <w:lang w:val="pl-PL"/>
        </w:rPr>
      </w:pPr>
      <w:bookmarkStart w:id="23" w:name="_Hlk221089989"/>
      <w:bookmarkEnd w:id="22"/>
      <w:r w:rsidRPr="00BD354C">
        <w:rPr>
          <w:i/>
          <w:spacing w:val="-2"/>
          <w:lang w:val="pl-PL"/>
        </w:rPr>
        <w:t>(</w:t>
      </w:r>
      <w:r w:rsidR="00E616EE" w:rsidRPr="00BD354C">
        <w:rPr>
          <w:i/>
          <w:spacing w:val="-2"/>
          <w:lang w:val="pl-PL"/>
        </w:rPr>
        <w:t>3</w:t>
      </w:r>
      <w:r w:rsidRPr="00BD354C">
        <w:rPr>
          <w:i/>
          <w:spacing w:val="-2"/>
          <w:lang w:val="pl-PL"/>
        </w:rPr>
        <w:t xml:space="preserve">) Báo cáo </w:t>
      </w:r>
      <w:bookmarkStart w:id="24" w:name="_Hlk213423406"/>
      <w:r w:rsidR="00550CD1" w:rsidRPr="00BD354C">
        <w:rPr>
          <w:i/>
          <w:spacing w:val="-4"/>
        </w:rPr>
        <w:t>t</w:t>
      </w:r>
      <w:r w:rsidRPr="00BD354C">
        <w:rPr>
          <w:i/>
          <w:spacing w:val="-4"/>
        </w:rPr>
        <w:t xml:space="preserve">ổng kết việc thi hành </w:t>
      </w:r>
      <w:r w:rsidRPr="00BD354C">
        <w:rPr>
          <w:i/>
          <w:lang w:val="vi-VN" w:eastAsia="vi-VN"/>
        </w:rPr>
        <w:t xml:space="preserve">Nghị quyết số 12/2021/NQ-HĐND ngày 20/12/2021 </w:t>
      </w:r>
      <w:r w:rsidRPr="00BD354C">
        <w:rPr>
          <w:i/>
          <w:lang w:eastAsia="vi-VN"/>
        </w:rPr>
        <w:t xml:space="preserve">(được sửa đổi, bổ sung tại Nghị quyết số 03/2023/NQ-HĐND ngày 06/7/2023) </w:t>
      </w:r>
      <w:r w:rsidRPr="00BD354C">
        <w:rPr>
          <w:i/>
          <w:lang w:val="vi-VN" w:eastAsia="vi-VN"/>
        </w:rPr>
        <w:t>của Hội đồng nhân dân tỉnh</w:t>
      </w:r>
      <w:r w:rsidRPr="00BD354C">
        <w:rPr>
          <w:i/>
          <w:lang w:eastAsia="vi-VN"/>
        </w:rPr>
        <w:t xml:space="preserve"> </w:t>
      </w:r>
      <w:r w:rsidRPr="00BD354C">
        <w:rPr>
          <w:i/>
          <w:lang w:val="vi-VN" w:eastAsia="vi-VN"/>
        </w:rPr>
        <w:t>Quy định chính sách thu hút nguồn nhân lực, hỗ trợ đào tạo sau đại học, nâng cao trình độ ngoại ngữ</w:t>
      </w:r>
      <w:bookmarkEnd w:id="24"/>
      <w:r w:rsidRPr="00BD354C">
        <w:rPr>
          <w:i/>
          <w:lang w:eastAsia="vi-VN"/>
        </w:rPr>
        <w:t>.</w:t>
      </w:r>
    </w:p>
    <w:p w14:paraId="15AE4AEC" w14:textId="78C05F31" w:rsidR="000555A2" w:rsidRPr="00BD354C" w:rsidRDefault="005A7773" w:rsidP="00E616EE">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i/>
          <w:spacing w:val="-4"/>
          <w:lang w:val="pl-PL"/>
        </w:rPr>
      </w:pPr>
      <w:r w:rsidRPr="00BD354C">
        <w:rPr>
          <w:i/>
          <w:spacing w:val="-4"/>
          <w:lang w:val="pl-PL"/>
        </w:rPr>
        <w:t>(</w:t>
      </w:r>
      <w:r w:rsidR="00E616EE" w:rsidRPr="00BD354C">
        <w:rPr>
          <w:i/>
          <w:spacing w:val="-4"/>
          <w:lang w:val="pl-PL"/>
        </w:rPr>
        <w:t>4</w:t>
      </w:r>
      <w:r w:rsidRPr="00BD354C">
        <w:rPr>
          <w:i/>
          <w:spacing w:val="-4"/>
          <w:lang w:val="pl-PL"/>
        </w:rPr>
        <w:t xml:space="preserve">) </w:t>
      </w:r>
      <w:r w:rsidRPr="00BD354C">
        <w:rPr>
          <w:i/>
          <w:spacing w:val="-4"/>
          <w:lang w:val="nb-NO"/>
        </w:rPr>
        <w:t xml:space="preserve">Bản tổng hợp, giải trình, tiếp thu ý kiến góp ý </w:t>
      </w:r>
      <w:r w:rsidR="009A2322" w:rsidRPr="00BD354C">
        <w:rPr>
          <w:i/>
          <w:spacing w:val="-4"/>
          <w:lang w:val="nb-NO"/>
        </w:rPr>
        <w:t xml:space="preserve">đối với </w:t>
      </w:r>
      <w:r w:rsidRPr="00BD354C">
        <w:rPr>
          <w:i/>
          <w:spacing w:val="-4"/>
          <w:lang w:val="nb-NO"/>
        </w:rPr>
        <w:t xml:space="preserve">dự thảo </w:t>
      </w:r>
      <w:r w:rsidR="00D02328" w:rsidRPr="00BD354C">
        <w:rPr>
          <w:i/>
          <w:spacing w:val="-4"/>
          <w:lang w:val="nb-NO"/>
        </w:rPr>
        <w:t>Nghị quyết</w:t>
      </w:r>
      <w:r w:rsidR="000555A2" w:rsidRPr="00BD354C">
        <w:rPr>
          <w:i/>
          <w:spacing w:val="-4"/>
          <w:lang w:val="pl-PL"/>
        </w:rPr>
        <w:t>.</w:t>
      </w:r>
      <w:r w:rsidR="00C641B2" w:rsidRPr="00BD354C">
        <w:rPr>
          <w:spacing w:val="-4"/>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494"/>
      </w:tblGrid>
      <w:tr w:rsidR="000555A2" w:rsidRPr="00BD354C" w14:paraId="0086BE63" w14:textId="77777777" w:rsidTr="000555A2">
        <w:tc>
          <w:tcPr>
            <w:tcW w:w="4578" w:type="dxa"/>
            <w:hideMark/>
          </w:tcPr>
          <w:bookmarkEnd w:id="23"/>
          <w:p w14:paraId="5A7CF59B" w14:textId="77777777" w:rsidR="000555A2" w:rsidRPr="00BD354C" w:rsidRDefault="000555A2">
            <w:pPr>
              <w:pStyle w:val="BodyText"/>
              <w:rPr>
                <w:rFonts w:ascii="Times New Roman" w:hAnsi="Times New Roman"/>
                <w:sz w:val="24"/>
                <w:szCs w:val="24"/>
                <w:lang w:val="nl-NL"/>
              </w:rPr>
            </w:pPr>
            <w:r w:rsidRPr="00BD354C">
              <w:rPr>
                <w:rFonts w:ascii="Times New Roman" w:hAnsi="Times New Roman"/>
                <w:b/>
                <w:i/>
                <w:sz w:val="24"/>
                <w:szCs w:val="24"/>
                <w:lang w:val="nl-NL"/>
              </w:rPr>
              <w:t>Nơi nhận:</w:t>
            </w:r>
          </w:p>
          <w:p w14:paraId="06E72C28" w14:textId="4E7DE3A0" w:rsidR="000555A2" w:rsidRPr="00BD354C" w:rsidRDefault="000555A2">
            <w:pPr>
              <w:jc w:val="both"/>
              <w:rPr>
                <w:sz w:val="22"/>
                <w:szCs w:val="22"/>
                <w:lang w:val="nl-NL"/>
              </w:rPr>
            </w:pPr>
            <w:r w:rsidRPr="00BD354C">
              <w:rPr>
                <w:sz w:val="22"/>
                <w:szCs w:val="22"/>
                <w:lang w:val="nl-NL"/>
              </w:rPr>
              <w:t xml:space="preserve">- </w:t>
            </w:r>
            <w:r w:rsidR="00550CD1" w:rsidRPr="00BD354C">
              <w:rPr>
                <w:sz w:val="22"/>
                <w:szCs w:val="22"/>
                <w:lang w:val="nl-NL"/>
              </w:rPr>
              <w:t>Như trên</w:t>
            </w:r>
            <w:r w:rsidRPr="00BD354C">
              <w:rPr>
                <w:sz w:val="22"/>
                <w:szCs w:val="22"/>
                <w:lang w:val="nl-NL"/>
              </w:rPr>
              <w:t xml:space="preserve"> (</w:t>
            </w:r>
            <w:r w:rsidR="00990A65" w:rsidRPr="00BD354C">
              <w:rPr>
                <w:sz w:val="22"/>
                <w:szCs w:val="22"/>
                <w:lang w:val="nl-NL"/>
              </w:rPr>
              <w:t>kính</w:t>
            </w:r>
            <w:r w:rsidRPr="00BD354C">
              <w:rPr>
                <w:sz w:val="22"/>
                <w:szCs w:val="22"/>
                <w:lang w:val="nl-NL"/>
              </w:rPr>
              <w:t xml:space="preserve"> trình);</w:t>
            </w:r>
          </w:p>
          <w:p w14:paraId="72237515" w14:textId="28533D43" w:rsidR="00990A65" w:rsidRPr="00BD354C" w:rsidRDefault="00990A65">
            <w:pPr>
              <w:jc w:val="both"/>
              <w:rPr>
                <w:sz w:val="22"/>
                <w:szCs w:val="22"/>
                <w:lang w:val="nl-NL"/>
              </w:rPr>
            </w:pPr>
            <w:r w:rsidRPr="00BD354C">
              <w:rPr>
                <w:sz w:val="22"/>
                <w:szCs w:val="22"/>
                <w:lang w:val="nl-NL"/>
              </w:rPr>
              <w:t>- VP UBND tỉnh (phối hợp trình);</w:t>
            </w:r>
          </w:p>
          <w:p w14:paraId="1C61EED6" w14:textId="4D37C67D" w:rsidR="00550CD1" w:rsidRPr="00BD354C" w:rsidRDefault="00550CD1">
            <w:pPr>
              <w:jc w:val="both"/>
              <w:rPr>
                <w:sz w:val="22"/>
                <w:szCs w:val="22"/>
                <w:lang w:val="nl-NL"/>
              </w:rPr>
            </w:pPr>
            <w:r w:rsidRPr="00BD354C">
              <w:rPr>
                <w:sz w:val="22"/>
                <w:szCs w:val="22"/>
                <w:lang w:val="nl-NL"/>
              </w:rPr>
              <w:t>- Sở Tư pháp;</w:t>
            </w:r>
          </w:p>
          <w:p w14:paraId="6FC69707" w14:textId="4E2D212F" w:rsidR="00550CD1" w:rsidRPr="00BD354C" w:rsidRDefault="00550CD1">
            <w:pPr>
              <w:jc w:val="both"/>
              <w:rPr>
                <w:sz w:val="22"/>
                <w:szCs w:val="22"/>
                <w:lang w:val="nl-NL"/>
              </w:rPr>
            </w:pPr>
            <w:r w:rsidRPr="00BD354C">
              <w:rPr>
                <w:sz w:val="22"/>
                <w:szCs w:val="22"/>
                <w:lang w:val="nl-NL"/>
              </w:rPr>
              <w:t>- Sở Tài chính;</w:t>
            </w:r>
          </w:p>
          <w:p w14:paraId="60CCCF97" w14:textId="05B1C38A" w:rsidR="00A565DA" w:rsidRPr="00BD354C" w:rsidRDefault="000555A2">
            <w:pPr>
              <w:jc w:val="both"/>
              <w:rPr>
                <w:sz w:val="22"/>
                <w:szCs w:val="22"/>
                <w:lang w:val="nl-NL"/>
              </w:rPr>
            </w:pPr>
            <w:r w:rsidRPr="00BD354C">
              <w:rPr>
                <w:sz w:val="22"/>
                <w:szCs w:val="22"/>
                <w:lang w:val="nl-NL"/>
              </w:rPr>
              <w:t xml:space="preserve">- </w:t>
            </w:r>
            <w:r w:rsidR="00990A65" w:rsidRPr="00BD354C">
              <w:rPr>
                <w:sz w:val="22"/>
                <w:szCs w:val="22"/>
                <w:lang w:val="nl-NL"/>
              </w:rPr>
              <w:t>Lãnh đạo</w:t>
            </w:r>
            <w:r w:rsidRPr="00BD354C">
              <w:rPr>
                <w:sz w:val="22"/>
                <w:szCs w:val="22"/>
                <w:lang w:val="nl-NL"/>
              </w:rPr>
              <w:t xml:space="preserve"> </w:t>
            </w:r>
            <w:r w:rsidR="00D02328" w:rsidRPr="00BD354C">
              <w:rPr>
                <w:sz w:val="22"/>
                <w:szCs w:val="22"/>
                <w:lang w:val="nl-NL"/>
              </w:rPr>
              <w:t>Sở</w:t>
            </w:r>
            <w:r w:rsidR="00E37640" w:rsidRPr="00BD354C">
              <w:rPr>
                <w:sz w:val="22"/>
                <w:szCs w:val="22"/>
                <w:lang w:val="nl-NL"/>
              </w:rPr>
              <w:t>;</w:t>
            </w:r>
          </w:p>
          <w:p w14:paraId="2C0C8398" w14:textId="4C26130F" w:rsidR="000555A2" w:rsidRPr="00BD354C" w:rsidRDefault="000555A2">
            <w:pPr>
              <w:tabs>
                <w:tab w:val="left" w:pos="540"/>
                <w:tab w:val="left" w:pos="2020"/>
                <w:tab w:val="left" w:pos="2500"/>
                <w:tab w:val="center" w:pos="4716"/>
              </w:tabs>
              <w:jc w:val="both"/>
              <w:rPr>
                <w:lang w:val="pl-PL"/>
              </w:rPr>
            </w:pPr>
            <w:r w:rsidRPr="00BD354C">
              <w:rPr>
                <w:sz w:val="22"/>
                <w:szCs w:val="22"/>
                <w:lang w:val="nl-NL"/>
              </w:rPr>
              <w:t>- Lưu: VT,</w:t>
            </w:r>
            <w:r w:rsidR="00550CD1" w:rsidRPr="00BD354C">
              <w:rPr>
                <w:sz w:val="22"/>
                <w:szCs w:val="22"/>
                <w:lang w:val="nl-NL"/>
              </w:rPr>
              <w:t xml:space="preserve"> </w:t>
            </w:r>
            <w:r w:rsidR="00D02328" w:rsidRPr="00BD354C">
              <w:rPr>
                <w:sz w:val="22"/>
                <w:szCs w:val="22"/>
                <w:lang w:val="nl-NL"/>
              </w:rPr>
              <w:t>CCVC</w:t>
            </w:r>
            <w:r w:rsidR="004F213B" w:rsidRPr="00BD354C">
              <w:rPr>
                <w:sz w:val="22"/>
                <w:szCs w:val="22"/>
                <w:lang w:val="nl-NL"/>
              </w:rPr>
              <w:t>.</w:t>
            </w:r>
          </w:p>
        </w:tc>
        <w:tc>
          <w:tcPr>
            <w:tcW w:w="4494" w:type="dxa"/>
          </w:tcPr>
          <w:p w14:paraId="77212300" w14:textId="77777777" w:rsidR="000555A2" w:rsidRPr="00BD354C" w:rsidRDefault="000555A2">
            <w:pPr>
              <w:shd w:val="clear" w:color="auto" w:fill="FFFFFF"/>
              <w:spacing w:before="120" w:after="120" w:line="360" w:lineRule="exact"/>
              <w:jc w:val="center"/>
              <w:rPr>
                <w:b/>
                <w:bCs/>
                <w:lang w:val="pl-PL"/>
              </w:rPr>
            </w:pPr>
            <w:r w:rsidRPr="00BD354C">
              <w:rPr>
                <w:b/>
                <w:bCs/>
                <w:lang w:val="pl-PL"/>
              </w:rPr>
              <w:t>GIÁM ĐỐC</w:t>
            </w:r>
          </w:p>
          <w:p w14:paraId="4D48AD76" w14:textId="77777777" w:rsidR="000555A2" w:rsidRPr="00BD354C" w:rsidRDefault="000555A2">
            <w:pPr>
              <w:tabs>
                <w:tab w:val="left" w:pos="540"/>
                <w:tab w:val="left" w:pos="2020"/>
                <w:tab w:val="left" w:pos="2500"/>
                <w:tab w:val="center" w:pos="4716"/>
              </w:tabs>
              <w:spacing w:before="120" w:after="120" w:line="360" w:lineRule="exact"/>
              <w:jc w:val="center"/>
              <w:rPr>
                <w:b/>
                <w:bCs/>
                <w:lang w:val="pl-PL"/>
              </w:rPr>
            </w:pPr>
          </w:p>
          <w:p w14:paraId="4B0B5AC3" w14:textId="77777777" w:rsidR="0031534F" w:rsidRPr="00BD354C" w:rsidRDefault="0031534F">
            <w:pPr>
              <w:tabs>
                <w:tab w:val="left" w:pos="540"/>
                <w:tab w:val="left" w:pos="2020"/>
                <w:tab w:val="left" w:pos="2500"/>
                <w:tab w:val="center" w:pos="4716"/>
              </w:tabs>
              <w:spacing w:before="120" w:after="120" w:line="360" w:lineRule="exact"/>
              <w:jc w:val="center"/>
              <w:rPr>
                <w:b/>
                <w:bCs/>
                <w:lang w:val="pl-PL"/>
              </w:rPr>
            </w:pPr>
          </w:p>
          <w:p w14:paraId="673AE2C9" w14:textId="77777777" w:rsidR="000555A2" w:rsidRPr="00BD354C" w:rsidRDefault="000555A2" w:rsidP="001E0107">
            <w:pPr>
              <w:tabs>
                <w:tab w:val="left" w:pos="540"/>
                <w:tab w:val="left" w:pos="2020"/>
                <w:tab w:val="left" w:pos="2500"/>
                <w:tab w:val="center" w:pos="4716"/>
              </w:tabs>
              <w:spacing w:before="120" w:after="120" w:line="360" w:lineRule="exact"/>
              <w:rPr>
                <w:b/>
                <w:bCs/>
                <w:lang w:val="pl-PL"/>
              </w:rPr>
            </w:pPr>
          </w:p>
          <w:p w14:paraId="591B1F25" w14:textId="52B64042" w:rsidR="000555A2" w:rsidRPr="00BD354C" w:rsidRDefault="00D02328">
            <w:pPr>
              <w:tabs>
                <w:tab w:val="left" w:pos="540"/>
                <w:tab w:val="left" w:pos="2020"/>
                <w:tab w:val="left" w:pos="2500"/>
                <w:tab w:val="center" w:pos="4716"/>
              </w:tabs>
              <w:spacing w:before="120" w:after="120" w:line="360" w:lineRule="exact"/>
              <w:jc w:val="center"/>
              <w:rPr>
                <w:b/>
                <w:bCs/>
                <w:lang w:val="pl-PL"/>
              </w:rPr>
            </w:pPr>
            <w:r w:rsidRPr="00BD354C">
              <w:rPr>
                <w:b/>
                <w:bCs/>
                <w:lang w:val="pl-PL"/>
              </w:rPr>
              <w:t>Đỗ Anh Tuấn</w:t>
            </w:r>
          </w:p>
        </w:tc>
      </w:tr>
    </w:tbl>
    <w:p w14:paraId="2EC1453E" w14:textId="0A0F9A31" w:rsidR="00B94D86" w:rsidRPr="00BD354C" w:rsidRDefault="00B94D86" w:rsidP="001E0107">
      <w:pPr>
        <w:rPr>
          <w:lang w:val="pl-PL"/>
        </w:rPr>
      </w:pPr>
    </w:p>
    <w:sectPr w:rsidR="00B94D86" w:rsidRPr="00BD354C" w:rsidSect="00E616EE">
      <w:headerReference w:type="default" r:id="rId8"/>
      <w:pgSz w:w="11907" w:h="16840" w:code="9"/>
      <w:pgMar w:top="1134" w:right="1134" w:bottom="85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9122" w14:textId="77777777" w:rsidR="0020754E" w:rsidRDefault="0020754E">
      <w:r>
        <w:separator/>
      </w:r>
    </w:p>
  </w:endnote>
  <w:endnote w:type="continuationSeparator" w:id="0">
    <w:p w14:paraId="10DF4CEC" w14:textId="77777777" w:rsidR="0020754E" w:rsidRDefault="0020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1DC7" w14:textId="77777777" w:rsidR="0020754E" w:rsidRDefault="0020754E">
      <w:r>
        <w:separator/>
      </w:r>
    </w:p>
  </w:footnote>
  <w:footnote w:type="continuationSeparator" w:id="0">
    <w:p w14:paraId="4F56567A" w14:textId="77777777" w:rsidR="0020754E" w:rsidRDefault="0020754E">
      <w:r>
        <w:continuationSeparator/>
      </w:r>
    </w:p>
  </w:footnote>
  <w:footnote w:id="1">
    <w:p w14:paraId="73E15E21" w14:textId="3B2A915A" w:rsidR="00151376" w:rsidRPr="00BD354C" w:rsidRDefault="00151376" w:rsidP="00B06DEF">
      <w:pPr>
        <w:spacing w:before="120" w:after="120"/>
        <w:ind w:firstLine="720"/>
        <w:jc w:val="both"/>
        <w:rPr>
          <w:spacing w:val="-4"/>
          <w:sz w:val="20"/>
          <w:szCs w:val="20"/>
          <w:lang w:val="nl-NL"/>
        </w:rPr>
      </w:pPr>
      <w:r w:rsidRPr="00BD354C">
        <w:rPr>
          <w:rStyle w:val="FootnoteReference"/>
          <w:spacing w:val="-4"/>
          <w:sz w:val="20"/>
          <w:szCs w:val="20"/>
        </w:rPr>
        <w:footnoteRef/>
      </w:r>
      <w:r w:rsidRPr="00BD354C">
        <w:rPr>
          <w:spacing w:val="-4"/>
          <w:sz w:val="20"/>
          <w:szCs w:val="20"/>
        </w:rPr>
        <w:t xml:space="preserve"> </w:t>
      </w:r>
      <w:bookmarkStart w:id="0" w:name="_Hlk220588977"/>
      <w:r w:rsidRPr="00BD354C">
        <w:rPr>
          <w:bCs/>
          <w:spacing w:val="-4"/>
          <w:sz w:val="20"/>
          <w:szCs w:val="20"/>
        </w:rPr>
        <w:t xml:space="preserve">(1) Nghị quyết số 12/2021/NQ-HĐND ngày 20 tháng 12 năm 2021 </w:t>
      </w:r>
      <w:r w:rsidR="009C1E19" w:rsidRPr="00BD354C">
        <w:rPr>
          <w:bCs/>
          <w:spacing w:val="-4"/>
          <w:sz w:val="20"/>
          <w:szCs w:val="20"/>
        </w:rPr>
        <w:t>của HĐND tỉnh q</w:t>
      </w:r>
      <w:r w:rsidRPr="00BD354C">
        <w:rPr>
          <w:bCs/>
          <w:spacing w:val="-4"/>
          <w:sz w:val="20"/>
          <w:szCs w:val="20"/>
        </w:rPr>
        <w:t>uy định chính sách thu hút nguồn nhân lực, hỗ trợ đào tạo sau đại học, nâng cao trình độ ngoại ngữ</w:t>
      </w:r>
      <w:bookmarkEnd w:id="0"/>
      <w:r w:rsidRPr="00BD354C">
        <w:rPr>
          <w:spacing w:val="-4"/>
          <w:sz w:val="20"/>
          <w:szCs w:val="20"/>
          <w:lang w:val="nl-NL"/>
        </w:rPr>
        <w:t xml:space="preserve">; (2) </w:t>
      </w:r>
      <w:r w:rsidRPr="00BD354C">
        <w:rPr>
          <w:bCs/>
          <w:spacing w:val="-4"/>
          <w:sz w:val="20"/>
          <w:szCs w:val="20"/>
        </w:rPr>
        <w:t xml:space="preserve">Nghị quyết số 03/2023/NQ-HĐND ngày 06 tháng 7 năm 2023 </w:t>
      </w:r>
      <w:r w:rsidR="009C1E19" w:rsidRPr="00BD354C">
        <w:rPr>
          <w:bCs/>
          <w:spacing w:val="-4"/>
          <w:sz w:val="20"/>
          <w:szCs w:val="20"/>
        </w:rPr>
        <w:t>của HĐND tỉnh</w:t>
      </w:r>
      <w:r w:rsidR="009C1E19" w:rsidRPr="00BD354C">
        <w:rPr>
          <w:spacing w:val="-4"/>
          <w:sz w:val="20"/>
          <w:szCs w:val="20"/>
          <w:lang w:val="nl-NL"/>
        </w:rPr>
        <w:t xml:space="preserve"> ư</w:t>
      </w:r>
      <w:r w:rsidRPr="00BD354C">
        <w:rPr>
          <w:spacing w:val="-4"/>
          <w:sz w:val="20"/>
          <w:szCs w:val="20"/>
          <w:lang w:val="nl-NL"/>
        </w:rPr>
        <w:t xml:space="preserve">ửa đổi, bổ sung </w:t>
      </w:r>
      <w:r w:rsidRPr="00BD354C">
        <w:rPr>
          <w:bCs/>
          <w:spacing w:val="-4"/>
          <w:sz w:val="20"/>
          <w:szCs w:val="20"/>
        </w:rPr>
        <w:t>Nghị quyết số 12/2021/NQ-HĐND ngày 20 tháng 12 năm 2021 Quy định chính sách thu hút nguồn nhân lực, hỗ trợ đào tạo sau đại học, nâng cao trình độ ngoại ngữ</w:t>
      </w:r>
      <w:r w:rsidRPr="00BD354C">
        <w:rPr>
          <w:spacing w:val="-4"/>
          <w:sz w:val="20"/>
          <w:szCs w:val="20"/>
          <w:lang w:val="nl-NL"/>
        </w:rPr>
        <w:t>.</w:t>
      </w:r>
    </w:p>
    <w:p w14:paraId="74DB9E56" w14:textId="27E5102D" w:rsidR="00151376" w:rsidRPr="00BD354C" w:rsidRDefault="00151376" w:rsidP="00B06DEF">
      <w:pPr>
        <w:pStyle w:val="FootnoteText"/>
        <w:spacing w:before="120" w:after="120"/>
        <w:ind w:firstLine="720"/>
        <w:rPr>
          <w:szCs w:val="20"/>
        </w:rPr>
      </w:pPr>
    </w:p>
  </w:footnote>
  <w:footnote w:id="2">
    <w:p w14:paraId="7C977262" w14:textId="35C45322" w:rsidR="000F0BAB" w:rsidRPr="00BD354C" w:rsidRDefault="000F0BAB" w:rsidP="00F31A86">
      <w:pPr>
        <w:shd w:val="clear" w:color="auto" w:fill="FFFFFF"/>
        <w:spacing w:before="120" w:after="120"/>
        <w:ind w:firstLine="720"/>
        <w:jc w:val="both"/>
        <w:rPr>
          <w:sz w:val="20"/>
          <w:szCs w:val="20"/>
          <w:lang w:val="nl-NL" w:eastAsia="vi-VN"/>
        </w:rPr>
      </w:pPr>
      <w:r w:rsidRPr="00BD354C">
        <w:rPr>
          <w:rStyle w:val="FootnoteReference"/>
          <w:sz w:val="20"/>
          <w:szCs w:val="20"/>
        </w:rPr>
        <w:footnoteRef/>
      </w:r>
      <w:r w:rsidRPr="00BD354C">
        <w:rPr>
          <w:sz w:val="20"/>
          <w:szCs w:val="20"/>
        </w:rPr>
        <w:t xml:space="preserve"> </w:t>
      </w:r>
      <w:r w:rsidRPr="00BD354C">
        <w:rPr>
          <w:sz w:val="20"/>
          <w:szCs w:val="20"/>
          <w:lang w:val="nl-NL"/>
        </w:rPr>
        <w:t>06/11 văn bản quy phạm pháp luật là căn cứ ban hành Nghị quyết đã được thay thế</w:t>
      </w:r>
      <w:r w:rsidRPr="00BD354C">
        <w:rPr>
          <w:sz w:val="20"/>
          <w:szCs w:val="20"/>
          <w:lang w:val="nl-NL" w:eastAsia="vi-VN"/>
        </w:rPr>
        <w:t xml:space="preserve">, gồm: </w:t>
      </w:r>
      <w:r w:rsidRPr="00BD354C">
        <w:rPr>
          <w:b/>
          <w:bCs/>
          <w:sz w:val="20"/>
          <w:szCs w:val="20"/>
          <w:lang w:val="nl-NL" w:eastAsia="vi-VN"/>
        </w:rPr>
        <w:t>(1)</w:t>
      </w:r>
      <w:r w:rsidRPr="00BD354C">
        <w:rPr>
          <w:sz w:val="20"/>
          <w:szCs w:val="20"/>
          <w:lang w:val="nl-NL" w:eastAsia="vi-VN"/>
        </w:rPr>
        <w:t xml:space="preserve"> Luật Tổ chức chính quyền địa phương ngày 19 tháng 6 năm 2015; Luật Sửa đổi, bổ sung một số điều của Luật Tổ chức Chính phủ và Luật Tổ chức chính quyền địa phương ngày 22 tháng 11 năm 2019 đã được thay thế bằng Luật Tổ chức chính quyền địa phương ngày 16/6/2025; Luật Tổ chức Chính phủ ngày 18/02/2025; </w:t>
      </w:r>
      <w:r w:rsidRPr="00BD354C">
        <w:rPr>
          <w:b/>
          <w:bCs/>
          <w:sz w:val="20"/>
          <w:szCs w:val="20"/>
          <w:lang w:val="nl-NL" w:eastAsia="vi-VN"/>
        </w:rPr>
        <w:t>(2)</w:t>
      </w:r>
      <w:r w:rsidRPr="00BD354C">
        <w:rPr>
          <w:sz w:val="20"/>
          <w:szCs w:val="20"/>
          <w:lang w:val="nl-NL" w:eastAsia="vi-VN"/>
        </w:rPr>
        <w:t xml:space="preserve"> Luật Ban hành văn bản quy phạm pháp luật ngày 22 tháng 6 năm 2015; Luật Sửa đổi, bổ sung một số điều của Luật Ban hành văn bản quy phạm pháp luật ngày 18 tháng 6 năm 2020 đã được thay thế bằng </w:t>
      </w:r>
      <w:r w:rsidRPr="00BD354C">
        <w:rPr>
          <w:sz w:val="20"/>
          <w:szCs w:val="20"/>
        </w:rPr>
        <w:t xml:space="preserve">Luật Ban hành văn bản quy phạm pháp luật số 64/2025/QH15; Luật sửa đổi, bổ sung một số điều của Luật Ban hành văn bản quy phạm pháp luật số 87/2025/QH15; </w:t>
      </w:r>
      <w:r w:rsidRPr="00BD354C">
        <w:rPr>
          <w:b/>
          <w:bCs/>
          <w:sz w:val="20"/>
          <w:szCs w:val="20"/>
          <w:lang w:val="nl-NL" w:eastAsia="vi-VN"/>
        </w:rPr>
        <w:t xml:space="preserve">(3) </w:t>
      </w:r>
      <w:r w:rsidRPr="00BD354C">
        <w:rPr>
          <w:sz w:val="20"/>
          <w:szCs w:val="20"/>
          <w:lang w:val="nl-NL" w:eastAsia="vi-VN"/>
        </w:rPr>
        <w:t xml:space="preserve">Luật Cán bộ, công chức ngày 13 tháng 11 năm 2008; Luật Sửa đổi, bổ sung một số điều của Luật Cán bộ, công chức và Luật Viên chức ngày 25 tháng 11 năm 2019 đã được thay thế bằng Luật cán bộ, công chức ngày 24 tháng 6 năm 2025; </w:t>
      </w:r>
      <w:r w:rsidRPr="00BD354C">
        <w:rPr>
          <w:b/>
          <w:bCs/>
          <w:sz w:val="20"/>
          <w:szCs w:val="20"/>
          <w:lang w:val="nl-NL" w:eastAsia="vi-VN"/>
        </w:rPr>
        <w:t>(4)</w:t>
      </w:r>
      <w:r w:rsidRPr="00BD354C">
        <w:rPr>
          <w:sz w:val="20"/>
          <w:szCs w:val="20"/>
          <w:lang w:val="nl-NL" w:eastAsia="vi-VN"/>
        </w:rPr>
        <w:t xml:space="preserve"> </w:t>
      </w:r>
      <w:bookmarkStart w:id="10" w:name="_Hlk221279130"/>
      <w:r w:rsidR="00F31A86" w:rsidRPr="00BD354C">
        <w:rPr>
          <w:sz w:val="20"/>
          <w:szCs w:val="20"/>
          <w:lang w:val="nl-NL" w:eastAsia="vi-VN"/>
        </w:rPr>
        <w:t xml:space="preserve">Nghị định số 171/2025/NĐ-CP ngày 30/6/2025 đã bãi bỏ các quy định về đào tạo, bồi dưỡng công chức quy định tại </w:t>
      </w:r>
      <w:r w:rsidRPr="00BD354C">
        <w:rPr>
          <w:sz w:val="20"/>
          <w:szCs w:val="20"/>
          <w:lang w:val="nl-NL" w:eastAsia="vi-VN"/>
        </w:rPr>
        <w:t>Nghị định số 101/2017/NĐ-CP ngày 01 tháng 9 năm 2017 của Chính phủ về đào tạo bồi dưỡng cán bộ, công chức, viên chức; Nghị định số 89/2021/NĐ-CP ngày 18 tháng 10 năm 2021 của Chính phủ Sửa đổi, bổ sung một số điều Nghị định số 101/2017/NĐ-CP ngày 01 tháng 9 năm 2017 của Chính phủ về đào tạo bồi dưỡng cán bộ, công chức, viên chức những quy định về đào tạo, bồi dưỡng đối với công chức</w:t>
      </w:r>
      <w:bookmarkEnd w:id="10"/>
      <w:r w:rsidR="00733995" w:rsidRPr="00BD354C">
        <w:rPr>
          <w:sz w:val="20"/>
          <w:szCs w:val="20"/>
          <w:lang w:val="nl-NL" w:eastAsia="vi-VN"/>
        </w:rPr>
        <w:t>;</w:t>
      </w:r>
      <w:r w:rsidR="00F31A86" w:rsidRPr="00BD354C">
        <w:rPr>
          <w:sz w:val="20"/>
          <w:szCs w:val="20"/>
          <w:lang w:val="nl-NL" w:eastAsia="vi-VN"/>
        </w:rPr>
        <w:t xml:space="preserve"> </w:t>
      </w:r>
      <w:r w:rsidRPr="00BD354C">
        <w:rPr>
          <w:b/>
          <w:bCs/>
          <w:sz w:val="20"/>
          <w:szCs w:val="20"/>
          <w:lang w:val="nl-NL" w:eastAsia="vi-VN"/>
        </w:rPr>
        <w:t>(5)</w:t>
      </w:r>
      <w:r w:rsidRPr="00BD354C">
        <w:rPr>
          <w:sz w:val="20"/>
          <w:szCs w:val="20"/>
          <w:lang w:val="nl-NL" w:eastAsia="vi-VN"/>
        </w:rPr>
        <w:t xml:space="preserve"> Nghị định số 140/2017/NĐ-CP ngày 05 tháng 12 năm 2017 của Chính phủ về chính sách thu hút tạo nguồn cán bộ từ sinh viên tốt nghiệp xuất sắc, cán bộ khoa học trẻ đã được thay thế bằng </w:t>
      </w:r>
      <w:r w:rsidRPr="00BD354C">
        <w:rPr>
          <w:iCs/>
          <w:sz w:val="20"/>
          <w:szCs w:val="20"/>
          <w:lang w:val="nl-NL"/>
        </w:rPr>
        <w:t>Nghị định số 179/2024/NĐ-CP ngày 31/12/2024</w:t>
      </w:r>
      <w:r w:rsidRPr="00BD354C">
        <w:rPr>
          <w:sz w:val="20"/>
          <w:szCs w:val="20"/>
          <w:lang w:val="nl-NL" w:eastAsia="vi-VN"/>
        </w:rPr>
        <w:t xml:space="preserve">; </w:t>
      </w:r>
      <w:r w:rsidRPr="00BD354C">
        <w:rPr>
          <w:b/>
          <w:bCs/>
          <w:sz w:val="20"/>
          <w:szCs w:val="20"/>
        </w:rPr>
        <w:t>(6)</w:t>
      </w:r>
      <w:r w:rsidRPr="00BD354C">
        <w:rPr>
          <w:sz w:val="20"/>
          <w:szCs w:val="20"/>
        </w:rPr>
        <w:t xml:space="preserve"> </w:t>
      </w:r>
      <w:r w:rsidRPr="00BD354C">
        <w:rPr>
          <w:sz w:val="20"/>
          <w:szCs w:val="20"/>
          <w:lang w:val="nl-NL" w:eastAsia="vi-VN"/>
        </w:rPr>
        <w:t xml:space="preserve">Nghị định số 138/2020/NĐ-CP ngày 27 tháng 11 năm 2020 của Chính phủ </w:t>
      </w:r>
      <w:r w:rsidR="0063430B" w:rsidRPr="00BD354C">
        <w:rPr>
          <w:sz w:val="20"/>
          <w:szCs w:val="20"/>
          <w:lang w:val="nl-NL" w:eastAsia="vi-VN"/>
        </w:rPr>
        <w:t>q</w:t>
      </w:r>
      <w:r w:rsidRPr="00BD354C">
        <w:rPr>
          <w:sz w:val="20"/>
          <w:szCs w:val="20"/>
          <w:lang w:val="nl-NL" w:eastAsia="vi-VN"/>
        </w:rPr>
        <w:t>uy định về tuyển dụng, sử dụng và quản lý công chức được thay thế bằng Nghị định số 170/2025/NĐ-CP ngày 30/6/2025.</w:t>
      </w:r>
    </w:p>
  </w:footnote>
  <w:footnote w:id="3">
    <w:p w14:paraId="590C0D11" w14:textId="603941D6" w:rsidR="000F0BAB" w:rsidRPr="00BD354C" w:rsidRDefault="000F0BAB" w:rsidP="00BD1651">
      <w:pPr>
        <w:pStyle w:val="FootnoteText"/>
        <w:spacing w:before="120" w:after="120"/>
        <w:ind w:firstLine="720"/>
        <w:jc w:val="both"/>
      </w:pPr>
      <w:r w:rsidRPr="00BD354C">
        <w:rPr>
          <w:rStyle w:val="FootnoteReference"/>
        </w:rPr>
        <w:footnoteRef/>
      </w:r>
      <w:r w:rsidRPr="00BD354C">
        <w:t xml:space="preserve"> Trước</w:t>
      </w:r>
      <w:r w:rsidRPr="00BD354C">
        <w:rPr>
          <w:lang w:val="vi-VN"/>
        </w:rPr>
        <w:t xml:space="preserve"> thời điểm </w:t>
      </w:r>
      <w:r w:rsidRPr="00BD354C">
        <w:t>hợp nhất</w:t>
      </w:r>
      <w:r w:rsidRPr="00BD354C">
        <w:rPr>
          <w:lang w:val="vi-VN"/>
        </w:rPr>
        <w:t xml:space="preserve"> 02 tỉnh, Ủy ban nhân dân tỉnh Hà Giang</w:t>
      </w:r>
      <w:r w:rsidRPr="00BD354C">
        <w:t xml:space="preserve"> </w:t>
      </w:r>
      <w:r w:rsidRPr="00BD354C">
        <w:rPr>
          <w:lang w:val="vi-VN"/>
        </w:rPr>
        <w:t>chưa ban hành chính sách thu hút nguồn nhân lực, hỗ trợ đào tạo sau đại học trên địa bàn tỉnh</w:t>
      </w:r>
      <w:r w:rsidR="00BD1651" w:rsidRPr="00BD35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972033"/>
      <w:docPartObj>
        <w:docPartGallery w:val="Page Numbers (Top of Page)"/>
        <w:docPartUnique/>
      </w:docPartObj>
    </w:sdtPr>
    <w:sdtContent>
      <w:p w14:paraId="2387C514" w14:textId="481CA028" w:rsidR="00444777" w:rsidRPr="00B63AF8" w:rsidRDefault="000261A3">
        <w:pPr>
          <w:pStyle w:val="Header"/>
          <w:jc w:val="center"/>
          <w:rPr>
            <w:sz w:val="26"/>
            <w:szCs w:val="26"/>
          </w:rPr>
        </w:pPr>
        <w:r w:rsidRPr="00B63AF8">
          <w:rPr>
            <w:sz w:val="26"/>
            <w:szCs w:val="26"/>
          </w:rPr>
          <w:fldChar w:fldCharType="begin"/>
        </w:r>
        <w:r w:rsidRPr="00B63AF8">
          <w:rPr>
            <w:sz w:val="26"/>
            <w:szCs w:val="26"/>
          </w:rPr>
          <w:instrText xml:space="preserve"> PAGE   \* MERGEFORMAT </w:instrText>
        </w:r>
        <w:r w:rsidRPr="00B63AF8">
          <w:rPr>
            <w:sz w:val="26"/>
            <w:szCs w:val="26"/>
          </w:rPr>
          <w:fldChar w:fldCharType="separate"/>
        </w:r>
        <w:r w:rsidR="000B45D5">
          <w:rPr>
            <w:noProof/>
            <w:sz w:val="26"/>
            <w:szCs w:val="26"/>
          </w:rPr>
          <w:t>7</w:t>
        </w:r>
        <w:r w:rsidRPr="00B63AF8">
          <w:rPr>
            <w:noProof/>
            <w:sz w:val="26"/>
            <w:szCs w:val="26"/>
          </w:rPr>
          <w:fldChar w:fldCharType="end"/>
        </w:r>
      </w:p>
    </w:sdtContent>
  </w:sdt>
  <w:p w14:paraId="2AA05EA4" w14:textId="77777777" w:rsidR="00444777" w:rsidRPr="00B63AF8" w:rsidRDefault="00444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0FB7"/>
    <w:multiLevelType w:val="hybridMultilevel"/>
    <w:tmpl w:val="F266D94E"/>
    <w:lvl w:ilvl="0" w:tplc="06C65A3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67CEB"/>
    <w:multiLevelType w:val="hybridMultilevel"/>
    <w:tmpl w:val="741277DC"/>
    <w:lvl w:ilvl="0" w:tplc="9416777C">
      <w:start w:val="2"/>
      <w:numFmt w:val="bullet"/>
      <w:lvlText w:val="-"/>
      <w:lvlJc w:val="left"/>
      <w:pPr>
        <w:ind w:left="1080" w:hanging="360"/>
      </w:pPr>
      <w:rPr>
        <w:rFonts w:ascii="Times New Roman" w:eastAsia="Times New Roman" w:hAnsi="Times New Roman" w:cs="Times New Roman" w:hint="default"/>
        <w:b/>
        <w:i/>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05BF5"/>
    <w:multiLevelType w:val="hybridMultilevel"/>
    <w:tmpl w:val="1834EFDA"/>
    <w:lvl w:ilvl="0" w:tplc="04CC80AE">
      <w:start w:val="1"/>
      <w:numFmt w:val="decimal"/>
      <w:lvlText w:val="(%1)"/>
      <w:lvlJc w:val="left"/>
      <w:pPr>
        <w:ind w:left="972" w:hanging="405"/>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4740715"/>
    <w:multiLevelType w:val="multilevel"/>
    <w:tmpl w:val="A2900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B1D4E"/>
    <w:multiLevelType w:val="multilevel"/>
    <w:tmpl w:val="E30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986264">
    <w:abstractNumId w:val="0"/>
  </w:num>
  <w:num w:numId="2" w16cid:durableId="1250038176">
    <w:abstractNumId w:val="2"/>
  </w:num>
  <w:num w:numId="3" w16cid:durableId="2047442183">
    <w:abstractNumId w:val="4"/>
  </w:num>
  <w:num w:numId="4" w16cid:durableId="1553152286">
    <w:abstractNumId w:val="3"/>
  </w:num>
  <w:num w:numId="5" w16cid:durableId="94014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A"/>
    <w:rsid w:val="000010FE"/>
    <w:rsid w:val="00012ED0"/>
    <w:rsid w:val="000149A2"/>
    <w:rsid w:val="000155C6"/>
    <w:rsid w:val="000253FB"/>
    <w:rsid w:val="000261A3"/>
    <w:rsid w:val="00035D06"/>
    <w:rsid w:val="000360C0"/>
    <w:rsid w:val="0003614F"/>
    <w:rsid w:val="00036B88"/>
    <w:rsid w:val="000418FB"/>
    <w:rsid w:val="0004320F"/>
    <w:rsid w:val="000465F7"/>
    <w:rsid w:val="000479B7"/>
    <w:rsid w:val="000555A2"/>
    <w:rsid w:val="00063080"/>
    <w:rsid w:val="00066D36"/>
    <w:rsid w:val="00073631"/>
    <w:rsid w:val="00081585"/>
    <w:rsid w:val="000A06BA"/>
    <w:rsid w:val="000A532A"/>
    <w:rsid w:val="000A714B"/>
    <w:rsid w:val="000B0760"/>
    <w:rsid w:val="000B376B"/>
    <w:rsid w:val="000B45D5"/>
    <w:rsid w:val="000B5915"/>
    <w:rsid w:val="000C0556"/>
    <w:rsid w:val="000C070C"/>
    <w:rsid w:val="000F0BAB"/>
    <w:rsid w:val="000F6FE5"/>
    <w:rsid w:val="000F76F2"/>
    <w:rsid w:val="001004CA"/>
    <w:rsid w:val="00111961"/>
    <w:rsid w:val="00120784"/>
    <w:rsid w:val="00121201"/>
    <w:rsid w:val="0012756F"/>
    <w:rsid w:val="0014138A"/>
    <w:rsid w:val="00141709"/>
    <w:rsid w:val="00143C85"/>
    <w:rsid w:val="00146813"/>
    <w:rsid w:val="00151376"/>
    <w:rsid w:val="00152701"/>
    <w:rsid w:val="001528F2"/>
    <w:rsid w:val="00154EBF"/>
    <w:rsid w:val="00156772"/>
    <w:rsid w:val="001642D4"/>
    <w:rsid w:val="001661E2"/>
    <w:rsid w:val="00172674"/>
    <w:rsid w:val="001773AF"/>
    <w:rsid w:val="00180253"/>
    <w:rsid w:val="00180E35"/>
    <w:rsid w:val="001864F2"/>
    <w:rsid w:val="00191C6F"/>
    <w:rsid w:val="001B1417"/>
    <w:rsid w:val="001B26C7"/>
    <w:rsid w:val="001C1E6E"/>
    <w:rsid w:val="001C67CB"/>
    <w:rsid w:val="001C7CB0"/>
    <w:rsid w:val="001D0193"/>
    <w:rsid w:val="001D26A1"/>
    <w:rsid w:val="001E0107"/>
    <w:rsid w:val="001E248E"/>
    <w:rsid w:val="001E6EC8"/>
    <w:rsid w:val="001F28AD"/>
    <w:rsid w:val="001F3EAE"/>
    <w:rsid w:val="0020356E"/>
    <w:rsid w:val="00203C5E"/>
    <w:rsid w:val="00205223"/>
    <w:rsid w:val="0020559F"/>
    <w:rsid w:val="0020754E"/>
    <w:rsid w:val="00214265"/>
    <w:rsid w:val="00217F8B"/>
    <w:rsid w:val="002202E7"/>
    <w:rsid w:val="00220E59"/>
    <w:rsid w:val="0022574B"/>
    <w:rsid w:val="00233953"/>
    <w:rsid w:val="0024040C"/>
    <w:rsid w:val="00240551"/>
    <w:rsid w:val="00247BCC"/>
    <w:rsid w:val="00255BEE"/>
    <w:rsid w:val="00266673"/>
    <w:rsid w:val="00274FA1"/>
    <w:rsid w:val="00276806"/>
    <w:rsid w:val="002817F1"/>
    <w:rsid w:val="00281D3D"/>
    <w:rsid w:val="00294168"/>
    <w:rsid w:val="002B0688"/>
    <w:rsid w:val="002B5333"/>
    <w:rsid w:val="002C0FD7"/>
    <w:rsid w:val="002C3106"/>
    <w:rsid w:val="002D3DED"/>
    <w:rsid w:val="002D67D9"/>
    <w:rsid w:val="002E1AAE"/>
    <w:rsid w:val="002E4477"/>
    <w:rsid w:val="002E5412"/>
    <w:rsid w:val="002F2746"/>
    <w:rsid w:val="002F32C0"/>
    <w:rsid w:val="002F4D46"/>
    <w:rsid w:val="002F7BCE"/>
    <w:rsid w:val="00302FAB"/>
    <w:rsid w:val="003073BA"/>
    <w:rsid w:val="00314432"/>
    <w:rsid w:val="0031534F"/>
    <w:rsid w:val="0032397F"/>
    <w:rsid w:val="003239ED"/>
    <w:rsid w:val="00325135"/>
    <w:rsid w:val="003277D2"/>
    <w:rsid w:val="00353062"/>
    <w:rsid w:val="0035335F"/>
    <w:rsid w:val="00353A14"/>
    <w:rsid w:val="00355088"/>
    <w:rsid w:val="00363E41"/>
    <w:rsid w:val="00365060"/>
    <w:rsid w:val="00372865"/>
    <w:rsid w:val="003813E0"/>
    <w:rsid w:val="00391207"/>
    <w:rsid w:val="003A4AAF"/>
    <w:rsid w:val="003A72AA"/>
    <w:rsid w:val="003B1041"/>
    <w:rsid w:val="003B1949"/>
    <w:rsid w:val="003B44AC"/>
    <w:rsid w:val="003B66B5"/>
    <w:rsid w:val="003D56D7"/>
    <w:rsid w:val="003E0649"/>
    <w:rsid w:val="003F6C8A"/>
    <w:rsid w:val="00406607"/>
    <w:rsid w:val="00412412"/>
    <w:rsid w:val="0042144F"/>
    <w:rsid w:val="00431659"/>
    <w:rsid w:val="00431C2D"/>
    <w:rsid w:val="00436626"/>
    <w:rsid w:val="00441849"/>
    <w:rsid w:val="00442C62"/>
    <w:rsid w:val="00444777"/>
    <w:rsid w:val="0044593E"/>
    <w:rsid w:val="0044631C"/>
    <w:rsid w:val="00453176"/>
    <w:rsid w:val="00465786"/>
    <w:rsid w:val="004664C8"/>
    <w:rsid w:val="00477F23"/>
    <w:rsid w:val="00482599"/>
    <w:rsid w:val="004963F7"/>
    <w:rsid w:val="00497110"/>
    <w:rsid w:val="004A14BB"/>
    <w:rsid w:val="004A2784"/>
    <w:rsid w:val="004A4027"/>
    <w:rsid w:val="004A739D"/>
    <w:rsid w:val="004B0D67"/>
    <w:rsid w:val="004B236B"/>
    <w:rsid w:val="004B295B"/>
    <w:rsid w:val="004B3A11"/>
    <w:rsid w:val="004B73B8"/>
    <w:rsid w:val="004C4F4E"/>
    <w:rsid w:val="004D39E4"/>
    <w:rsid w:val="004E0179"/>
    <w:rsid w:val="004E2938"/>
    <w:rsid w:val="004E2B67"/>
    <w:rsid w:val="004E4E4E"/>
    <w:rsid w:val="004F1C4F"/>
    <w:rsid w:val="004F213B"/>
    <w:rsid w:val="004F4EE5"/>
    <w:rsid w:val="004F7487"/>
    <w:rsid w:val="00500E74"/>
    <w:rsid w:val="00507B5A"/>
    <w:rsid w:val="00511759"/>
    <w:rsid w:val="005133CC"/>
    <w:rsid w:val="005303F0"/>
    <w:rsid w:val="00530745"/>
    <w:rsid w:val="00535553"/>
    <w:rsid w:val="00535561"/>
    <w:rsid w:val="00542E99"/>
    <w:rsid w:val="0054427A"/>
    <w:rsid w:val="00550CD1"/>
    <w:rsid w:val="0055423A"/>
    <w:rsid w:val="005550AF"/>
    <w:rsid w:val="00561771"/>
    <w:rsid w:val="00562342"/>
    <w:rsid w:val="0056235C"/>
    <w:rsid w:val="00566E14"/>
    <w:rsid w:val="005754C7"/>
    <w:rsid w:val="00576B7F"/>
    <w:rsid w:val="005826F4"/>
    <w:rsid w:val="00583409"/>
    <w:rsid w:val="00584B23"/>
    <w:rsid w:val="00585B5E"/>
    <w:rsid w:val="00586123"/>
    <w:rsid w:val="00590C86"/>
    <w:rsid w:val="00595B03"/>
    <w:rsid w:val="005A60A1"/>
    <w:rsid w:val="005A6432"/>
    <w:rsid w:val="005A7773"/>
    <w:rsid w:val="005B078E"/>
    <w:rsid w:val="005B2D17"/>
    <w:rsid w:val="005B40D9"/>
    <w:rsid w:val="005C0107"/>
    <w:rsid w:val="005C5F9E"/>
    <w:rsid w:val="005D3721"/>
    <w:rsid w:val="005D6187"/>
    <w:rsid w:val="005D6727"/>
    <w:rsid w:val="005D6CFC"/>
    <w:rsid w:val="005E0678"/>
    <w:rsid w:val="005F3E50"/>
    <w:rsid w:val="006101FF"/>
    <w:rsid w:val="00616558"/>
    <w:rsid w:val="006225B6"/>
    <w:rsid w:val="006244EC"/>
    <w:rsid w:val="006313E5"/>
    <w:rsid w:val="006331AA"/>
    <w:rsid w:val="0063430B"/>
    <w:rsid w:val="0064452A"/>
    <w:rsid w:val="006468B0"/>
    <w:rsid w:val="006557EC"/>
    <w:rsid w:val="00660220"/>
    <w:rsid w:val="006644A3"/>
    <w:rsid w:val="00672DEF"/>
    <w:rsid w:val="00673D6F"/>
    <w:rsid w:val="00673DCD"/>
    <w:rsid w:val="00676836"/>
    <w:rsid w:val="00677563"/>
    <w:rsid w:val="00680882"/>
    <w:rsid w:val="00680981"/>
    <w:rsid w:val="006819B7"/>
    <w:rsid w:val="00682647"/>
    <w:rsid w:val="00692823"/>
    <w:rsid w:val="0069309D"/>
    <w:rsid w:val="00693EB2"/>
    <w:rsid w:val="006A1703"/>
    <w:rsid w:val="006A1730"/>
    <w:rsid w:val="006A30CB"/>
    <w:rsid w:val="006A3D0C"/>
    <w:rsid w:val="006A7E38"/>
    <w:rsid w:val="006B5747"/>
    <w:rsid w:val="006C60EA"/>
    <w:rsid w:val="006C71BA"/>
    <w:rsid w:val="006C7DAA"/>
    <w:rsid w:val="006D7E6A"/>
    <w:rsid w:val="006F6D48"/>
    <w:rsid w:val="006F75A5"/>
    <w:rsid w:val="00705650"/>
    <w:rsid w:val="00715780"/>
    <w:rsid w:val="0071718B"/>
    <w:rsid w:val="00717234"/>
    <w:rsid w:val="00727D15"/>
    <w:rsid w:val="00731978"/>
    <w:rsid w:val="00733995"/>
    <w:rsid w:val="00734BA8"/>
    <w:rsid w:val="00740944"/>
    <w:rsid w:val="0074541D"/>
    <w:rsid w:val="0075135C"/>
    <w:rsid w:val="00753E1E"/>
    <w:rsid w:val="007648A0"/>
    <w:rsid w:val="00767AAA"/>
    <w:rsid w:val="007729FE"/>
    <w:rsid w:val="00774D94"/>
    <w:rsid w:val="007916C9"/>
    <w:rsid w:val="00793F13"/>
    <w:rsid w:val="00795787"/>
    <w:rsid w:val="00797A4F"/>
    <w:rsid w:val="007A04C0"/>
    <w:rsid w:val="007B1B63"/>
    <w:rsid w:val="007C1054"/>
    <w:rsid w:val="007C34F5"/>
    <w:rsid w:val="007C64CC"/>
    <w:rsid w:val="007C7176"/>
    <w:rsid w:val="007E03FB"/>
    <w:rsid w:val="007E21DB"/>
    <w:rsid w:val="007E38BB"/>
    <w:rsid w:val="007E76F4"/>
    <w:rsid w:val="007F00D1"/>
    <w:rsid w:val="007F5135"/>
    <w:rsid w:val="008002F7"/>
    <w:rsid w:val="00802214"/>
    <w:rsid w:val="008210A5"/>
    <w:rsid w:val="00823273"/>
    <w:rsid w:val="00835A2A"/>
    <w:rsid w:val="00841390"/>
    <w:rsid w:val="00844A31"/>
    <w:rsid w:val="00863A50"/>
    <w:rsid w:val="00863DE9"/>
    <w:rsid w:val="00874388"/>
    <w:rsid w:val="0089019D"/>
    <w:rsid w:val="008919C1"/>
    <w:rsid w:val="00891E86"/>
    <w:rsid w:val="00895EF9"/>
    <w:rsid w:val="008A04CA"/>
    <w:rsid w:val="008B6D55"/>
    <w:rsid w:val="008C31A2"/>
    <w:rsid w:val="008C32D6"/>
    <w:rsid w:val="008D3370"/>
    <w:rsid w:val="008D5E5E"/>
    <w:rsid w:val="008E17D5"/>
    <w:rsid w:val="008E51DB"/>
    <w:rsid w:val="008E589C"/>
    <w:rsid w:val="009023C4"/>
    <w:rsid w:val="00903F90"/>
    <w:rsid w:val="00905505"/>
    <w:rsid w:val="00911DEC"/>
    <w:rsid w:val="009127A5"/>
    <w:rsid w:val="00912CEC"/>
    <w:rsid w:val="0091429D"/>
    <w:rsid w:val="00916133"/>
    <w:rsid w:val="00917DFA"/>
    <w:rsid w:val="00922012"/>
    <w:rsid w:val="0092417A"/>
    <w:rsid w:val="00944773"/>
    <w:rsid w:val="00957A09"/>
    <w:rsid w:val="00962392"/>
    <w:rsid w:val="00962F1A"/>
    <w:rsid w:val="009704D5"/>
    <w:rsid w:val="00970780"/>
    <w:rsid w:val="0097657A"/>
    <w:rsid w:val="009769C0"/>
    <w:rsid w:val="00982B2B"/>
    <w:rsid w:val="00984A80"/>
    <w:rsid w:val="00990A65"/>
    <w:rsid w:val="00992BB9"/>
    <w:rsid w:val="00995F02"/>
    <w:rsid w:val="00996FD4"/>
    <w:rsid w:val="009A2322"/>
    <w:rsid w:val="009B04C8"/>
    <w:rsid w:val="009C0AE6"/>
    <w:rsid w:val="009C1E19"/>
    <w:rsid w:val="009C3962"/>
    <w:rsid w:val="009C3EDE"/>
    <w:rsid w:val="009D21BD"/>
    <w:rsid w:val="009D3EA2"/>
    <w:rsid w:val="009F14CE"/>
    <w:rsid w:val="00A16549"/>
    <w:rsid w:val="00A30298"/>
    <w:rsid w:val="00A32DE1"/>
    <w:rsid w:val="00A4040A"/>
    <w:rsid w:val="00A40DD9"/>
    <w:rsid w:val="00A56091"/>
    <w:rsid w:val="00A565DA"/>
    <w:rsid w:val="00A56D27"/>
    <w:rsid w:val="00A6141B"/>
    <w:rsid w:val="00A62A07"/>
    <w:rsid w:val="00A65AA0"/>
    <w:rsid w:val="00A71DA3"/>
    <w:rsid w:val="00A75F46"/>
    <w:rsid w:val="00A764A0"/>
    <w:rsid w:val="00A81725"/>
    <w:rsid w:val="00A8223D"/>
    <w:rsid w:val="00A83527"/>
    <w:rsid w:val="00A8413E"/>
    <w:rsid w:val="00A90E80"/>
    <w:rsid w:val="00A944A0"/>
    <w:rsid w:val="00AA0DC0"/>
    <w:rsid w:val="00AA6925"/>
    <w:rsid w:val="00AB1EFD"/>
    <w:rsid w:val="00AB22E9"/>
    <w:rsid w:val="00AB2744"/>
    <w:rsid w:val="00AC2483"/>
    <w:rsid w:val="00AC3FE3"/>
    <w:rsid w:val="00AE5ED2"/>
    <w:rsid w:val="00AF16BC"/>
    <w:rsid w:val="00AF2956"/>
    <w:rsid w:val="00AF2C1E"/>
    <w:rsid w:val="00B0153D"/>
    <w:rsid w:val="00B0205D"/>
    <w:rsid w:val="00B02633"/>
    <w:rsid w:val="00B06DEF"/>
    <w:rsid w:val="00B14B9A"/>
    <w:rsid w:val="00B17D3D"/>
    <w:rsid w:val="00B21CD1"/>
    <w:rsid w:val="00B24ED3"/>
    <w:rsid w:val="00B30F45"/>
    <w:rsid w:val="00B37388"/>
    <w:rsid w:val="00B41C76"/>
    <w:rsid w:val="00B54980"/>
    <w:rsid w:val="00B55E11"/>
    <w:rsid w:val="00B576F4"/>
    <w:rsid w:val="00B604A3"/>
    <w:rsid w:val="00B63AF8"/>
    <w:rsid w:val="00B67E9C"/>
    <w:rsid w:val="00B701C7"/>
    <w:rsid w:val="00B8228F"/>
    <w:rsid w:val="00B8364B"/>
    <w:rsid w:val="00B87BA5"/>
    <w:rsid w:val="00B93644"/>
    <w:rsid w:val="00B94D86"/>
    <w:rsid w:val="00B979A5"/>
    <w:rsid w:val="00BA1943"/>
    <w:rsid w:val="00BA30D5"/>
    <w:rsid w:val="00BA5831"/>
    <w:rsid w:val="00BA6DF4"/>
    <w:rsid w:val="00BD1651"/>
    <w:rsid w:val="00BD354C"/>
    <w:rsid w:val="00BE1992"/>
    <w:rsid w:val="00BE483C"/>
    <w:rsid w:val="00BE4963"/>
    <w:rsid w:val="00BF318F"/>
    <w:rsid w:val="00BF5273"/>
    <w:rsid w:val="00BF6372"/>
    <w:rsid w:val="00C053D1"/>
    <w:rsid w:val="00C05B26"/>
    <w:rsid w:val="00C13207"/>
    <w:rsid w:val="00C1356C"/>
    <w:rsid w:val="00C23F29"/>
    <w:rsid w:val="00C30235"/>
    <w:rsid w:val="00C35017"/>
    <w:rsid w:val="00C35D10"/>
    <w:rsid w:val="00C37B1B"/>
    <w:rsid w:val="00C45E78"/>
    <w:rsid w:val="00C46FF8"/>
    <w:rsid w:val="00C54B8D"/>
    <w:rsid w:val="00C575AE"/>
    <w:rsid w:val="00C641B2"/>
    <w:rsid w:val="00C647B8"/>
    <w:rsid w:val="00C70DF4"/>
    <w:rsid w:val="00C73776"/>
    <w:rsid w:val="00C753EC"/>
    <w:rsid w:val="00C77886"/>
    <w:rsid w:val="00C814C4"/>
    <w:rsid w:val="00C82452"/>
    <w:rsid w:val="00CA1528"/>
    <w:rsid w:val="00CA6CE8"/>
    <w:rsid w:val="00CB2F2E"/>
    <w:rsid w:val="00CB744C"/>
    <w:rsid w:val="00CC4D5E"/>
    <w:rsid w:val="00CD0FC9"/>
    <w:rsid w:val="00CD517F"/>
    <w:rsid w:val="00CE1CAC"/>
    <w:rsid w:val="00CE4D1F"/>
    <w:rsid w:val="00CF5001"/>
    <w:rsid w:val="00CF7E18"/>
    <w:rsid w:val="00D02328"/>
    <w:rsid w:val="00D07F71"/>
    <w:rsid w:val="00D10561"/>
    <w:rsid w:val="00D12047"/>
    <w:rsid w:val="00D15A39"/>
    <w:rsid w:val="00D178D8"/>
    <w:rsid w:val="00D17EEC"/>
    <w:rsid w:val="00D230E8"/>
    <w:rsid w:val="00D24D5C"/>
    <w:rsid w:val="00D27071"/>
    <w:rsid w:val="00D335AF"/>
    <w:rsid w:val="00D50029"/>
    <w:rsid w:val="00D5003F"/>
    <w:rsid w:val="00D5773C"/>
    <w:rsid w:val="00D60879"/>
    <w:rsid w:val="00D60CB9"/>
    <w:rsid w:val="00D77F13"/>
    <w:rsid w:val="00D859A4"/>
    <w:rsid w:val="00D86AD5"/>
    <w:rsid w:val="00D934E7"/>
    <w:rsid w:val="00DA297F"/>
    <w:rsid w:val="00DB432F"/>
    <w:rsid w:val="00DC157A"/>
    <w:rsid w:val="00DC1962"/>
    <w:rsid w:val="00DD3253"/>
    <w:rsid w:val="00DD4A2B"/>
    <w:rsid w:val="00DE0799"/>
    <w:rsid w:val="00DE0D59"/>
    <w:rsid w:val="00DE6DBA"/>
    <w:rsid w:val="00DF409E"/>
    <w:rsid w:val="00DF5A61"/>
    <w:rsid w:val="00DF5B49"/>
    <w:rsid w:val="00DF5B91"/>
    <w:rsid w:val="00E02A64"/>
    <w:rsid w:val="00E04446"/>
    <w:rsid w:val="00E208D2"/>
    <w:rsid w:val="00E211D0"/>
    <w:rsid w:val="00E316B4"/>
    <w:rsid w:val="00E322FD"/>
    <w:rsid w:val="00E32E33"/>
    <w:rsid w:val="00E33BC7"/>
    <w:rsid w:val="00E37640"/>
    <w:rsid w:val="00E43498"/>
    <w:rsid w:val="00E45599"/>
    <w:rsid w:val="00E45E63"/>
    <w:rsid w:val="00E46B25"/>
    <w:rsid w:val="00E46D95"/>
    <w:rsid w:val="00E616EE"/>
    <w:rsid w:val="00E62FF4"/>
    <w:rsid w:val="00E676C8"/>
    <w:rsid w:val="00E67765"/>
    <w:rsid w:val="00E77F71"/>
    <w:rsid w:val="00E83479"/>
    <w:rsid w:val="00E84B3C"/>
    <w:rsid w:val="00E97108"/>
    <w:rsid w:val="00EA2039"/>
    <w:rsid w:val="00EA3E06"/>
    <w:rsid w:val="00EA56DE"/>
    <w:rsid w:val="00EA576A"/>
    <w:rsid w:val="00EB261D"/>
    <w:rsid w:val="00EB6400"/>
    <w:rsid w:val="00EC139D"/>
    <w:rsid w:val="00EC4CA6"/>
    <w:rsid w:val="00ED30D8"/>
    <w:rsid w:val="00EE027E"/>
    <w:rsid w:val="00EE4899"/>
    <w:rsid w:val="00EE646E"/>
    <w:rsid w:val="00EF45AA"/>
    <w:rsid w:val="00EF5AD0"/>
    <w:rsid w:val="00F00D82"/>
    <w:rsid w:val="00F03F03"/>
    <w:rsid w:val="00F1268C"/>
    <w:rsid w:val="00F135F0"/>
    <w:rsid w:val="00F15955"/>
    <w:rsid w:val="00F209EF"/>
    <w:rsid w:val="00F25365"/>
    <w:rsid w:val="00F31A86"/>
    <w:rsid w:val="00F36A73"/>
    <w:rsid w:val="00F417F2"/>
    <w:rsid w:val="00F45736"/>
    <w:rsid w:val="00F518A6"/>
    <w:rsid w:val="00F523EA"/>
    <w:rsid w:val="00F52C07"/>
    <w:rsid w:val="00F62F13"/>
    <w:rsid w:val="00F71F5E"/>
    <w:rsid w:val="00F72F01"/>
    <w:rsid w:val="00F74AB9"/>
    <w:rsid w:val="00F80D96"/>
    <w:rsid w:val="00F84CB4"/>
    <w:rsid w:val="00F91692"/>
    <w:rsid w:val="00F91BD9"/>
    <w:rsid w:val="00F93E22"/>
    <w:rsid w:val="00FA3102"/>
    <w:rsid w:val="00FA7C9B"/>
    <w:rsid w:val="00FB1C7A"/>
    <w:rsid w:val="00FB27F8"/>
    <w:rsid w:val="00FB57C0"/>
    <w:rsid w:val="00FC0114"/>
    <w:rsid w:val="00FC2D2E"/>
    <w:rsid w:val="00FC5EBB"/>
    <w:rsid w:val="00FE0A3F"/>
    <w:rsid w:val="00FE0DDA"/>
    <w:rsid w:val="00FE3E76"/>
    <w:rsid w:val="00FE74E5"/>
    <w:rsid w:val="00FF143F"/>
    <w:rsid w:val="00FF6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1448"/>
  <w15:docId w15:val="{B9C51E06-6823-474A-8EC7-B1C223C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59"/>
    <w:pPr>
      <w:spacing w:before="0" w:line="240" w:lineRule="auto"/>
    </w:pPr>
    <w:rPr>
      <w:rFonts w:ascii="Times New Roman" w:eastAsia="Times New Roman" w:hAnsi="Times New Roman" w:cs="Times New Roman"/>
      <w:sz w:val="28"/>
      <w:szCs w:val="28"/>
    </w:rPr>
  </w:style>
  <w:style w:type="paragraph" w:styleId="Heading1">
    <w:name w:val="heading 1"/>
    <w:basedOn w:val="Normal"/>
    <w:next w:val="Normal"/>
    <w:qFormat/>
    <w:rsid w:val="00DE0D59"/>
    <w:pPr>
      <w:keepNext/>
      <w:jc w:val="center"/>
      <w:outlineLvl w:val="0"/>
    </w:pPr>
    <w:rPr>
      <w:b/>
      <w:bCs/>
    </w:rPr>
  </w:style>
  <w:style w:type="paragraph" w:styleId="Heading2">
    <w:name w:val="heading 2"/>
    <w:basedOn w:val="Normal"/>
    <w:next w:val="Normal"/>
    <w:uiPriority w:val="9"/>
    <w:unhideWhenUsed/>
    <w:qFormat/>
    <w:rsid w:val="00DE0D59"/>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DE0D59"/>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DE0D59"/>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DE0D59"/>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rsid w:val="00DE0D59"/>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rsid w:val="00DE0D59"/>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DE0D59"/>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DE0D59"/>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59"/>
    <w:pPr>
      <w:ind w:left="720"/>
      <w:contextualSpacing/>
    </w:pPr>
  </w:style>
  <w:style w:type="paragraph" w:styleId="NoSpacing">
    <w:name w:val="No Spacing"/>
    <w:basedOn w:val="Normal"/>
    <w:uiPriority w:val="1"/>
    <w:qFormat/>
    <w:rsid w:val="00DE0D59"/>
    <w:rPr>
      <w:color w:val="000000"/>
    </w:rPr>
  </w:style>
  <w:style w:type="paragraph" w:styleId="Title">
    <w:name w:val="Title"/>
    <w:basedOn w:val="Normal"/>
    <w:next w:val="Normal"/>
    <w:uiPriority w:val="10"/>
    <w:qFormat/>
    <w:rsid w:val="00DE0D59"/>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DE0D59"/>
    <w:rPr>
      <w:i/>
      <w:color w:val="444444"/>
      <w:sz w:val="52"/>
    </w:rPr>
  </w:style>
  <w:style w:type="paragraph" w:styleId="Quote">
    <w:name w:val="Quote"/>
    <w:basedOn w:val="Normal"/>
    <w:next w:val="Normal"/>
    <w:uiPriority w:val="29"/>
    <w:qFormat/>
    <w:rsid w:val="00DE0D5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DE0D5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rsid w:val="00DE0D59"/>
    <w:pPr>
      <w:tabs>
        <w:tab w:val="center" w:pos="7143"/>
        <w:tab w:val="right" w:pos="14287"/>
      </w:tabs>
    </w:pPr>
    <w:rPr>
      <w:color w:val="000000"/>
      <w:sz w:val="22"/>
    </w:rPr>
  </w:style>
  <w:style w:type="paragraph" w:styleId="Footer">
    <w:name w:val="footer"/>
    <w:basedOn w:val="Normal"/>
    <w:uiPriority w:val="99"/>
    <w:unhideWhenUsed/>
    <w:rsid w:val="00DE0D59"/>
    <w:pPr>
      <w:tabs>
        <w:tab w:val="center" w:pos="7143"/>
        <w:tab w:val="right" w:pos="14287"/>
      </w:tabs>
    </w:pPr>
    <w:rPr>
      <w:color w:val="000000"/>
      <w:sz w:val="22"/>
    </w:rPr>
  </w:style>
  <w:style w:type="table" w:customStyle="1" w:styleId="Lined">
    <w:name w:val="Lined"/>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DE0D5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E0D5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DE0D5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DE0D5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DE0D5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DE0D5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E0D5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DE0D59"/>
    <w:pPr>
      <w:spacing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E0D59"/>
    <w:pPr>
      <w:spacing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DE0D59"/>
    <w:pPr>
      <w:spacing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DE0D59"/>
    <w:pPr>
      <w:spacing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DE0D59"/>
    <w:pPr>
      <w:spacing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E0D59"/>
    <w:pPr>
      <w:spacing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E0D59"/>
    <w:pPr>
      <w:spacing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DE0D59"/>
    <w:rPr>
      <w:color w:val="0000FF"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unhideWhenUsed/>
    <w:qFormat/>
    <w:rsid w:val="00DE0D59"/>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uiPriority w:val="99"/>
    <w:rsid w:val="00DE0D59"/>
    <w:rPr>
      <w:sz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de nota al p,SUPERS,R"/>
    <w:basedOn w:val="DefaultParagraphFont"/>
    <w:link w:val="RefChar"/>
    <w:uiPriority w:val="99"/>
    <w:unhideWhenUsed/>
    <w:qFormat/>
    <w:rsid w:val="00DE0D59"/>
    <w:rPr>
      <w:vertAlign w:val="superscript"/>
    </w:rPr>
  </w:style>
  <w:style w:type="character" w:customStyle="1" w:styleId="Heading1Char">
    <w:name w:val="Heading 1 Char"/>
    <w:basedOn w:val="DefaultParagraphFont"/>
    <w:rsid w:val="00DE0D59"/>
    <w:rPr>
      <w:rFonts w:ascii="Times New Roman" w:eastAsia="Times New Roman" w:hAnsi="Times New Roman" w:cs="Times New Roman"/>
      <w:b/>
      <w:bCs/>
      <w:sz w:val="28"/>
      <w:szCs w:val="28"/>
    </w:rPr>
  </w:style>
  <w:style w:type="table" w:styleId="TableGrid">
    <w:name w:val="Table Grid"/>
    <w:basedOn w:val="TableNormal"/>
    <w:rsid w:val="00DE0D59"/>
    <w:pPr>
      <w:spacing w:before="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DE0D59"/>
    <w:pPr>
      <w:jc w:val="both"/>
    </w:pPr>
    <w:rPr>
      <w:rFonts w:ascii=".VnTime" w:hAnsi=".VnTime"/>
      <w:szCs w:val="20"/>
    </w:rPr>
  </w:style>
  <w:style w:type="character" w:customStyle="1" w:styleId="BodyTextChar">
    <w:name w:val="Body Text Char"/>
    <w:basedOn w:val="DefaultParagraphFont"/>
    <w:rsid w:val="00DE0D59"/>
    <w:rPr>
      <w:rFonts w:ascii=".VnTime" w:eastAsia="Times New Roman" w:hAnsi=".VnTime" w:cs="Times New Roman"/>
      <w:sz w:val="28"/>
      <w:szCs w:val="20"/>
    </w:rPr>
  </w:style>
  <w:style w:type="paragraph" w:customStyle="1" w:styleId="CharCharCharCharCharCharCharChar">
    <w:name w:val="Char Char Char Char Char Char Char Char"/>
    <w:basedOn w:val="Normal"/>
    <w:next w:val="Normal"/>
    <w:semiHidden/>
    <w:rsid w:val="00DE0D59"/>
    <w:pPr>
      <w:spacing w:before="120" w:after="120" w:line="312" w:lineRule="auto"/>
    </w:pPr>
  </w:style>
  <w:style w:type="paragraph" w:styleId="NormalWeb">
    <w:name w:val="Normal (Web)"/>
    <w:basedOn w:val="Normal"/>
    <w:uiPriority w:val="99"/>
    <w:rsid w:val="00DE0D59"/>
    <w:pPr>
      <w:spacing w:before="100" w:beforeAutospacing="1" w:after="100" w:afterAutospacing="1"/>
    </w:pPr>
    <w:rPr>
      <w:sz w:val="24"/>
      <w:szCs w:val="24"/>
    </w:rPr>
  </w:style>
  <w:style w:type="character" w:styleId="Strong">
    <w:name w:val="Strong"/>
    <w:basedOn w:val="DefaultParagraphFont"/>
    <w:uiPriority w:val="22"/>
    <w:qFormat/>
    <w:rsid w:val="006A3D0C"/>
    <w:rPr>
      <w:b/>
      <w:bCs/>
    </w:rPr>
  </w:style>
  <w:style w:type="character" w:customStyle="1" w:styleId="fontstyle01">
    <w:name w:val="fontstyle01"/>
    <w:basedOn w:val="DefaultParagraphFont"/>
    <w:rsid w:val="009704D5"/>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D335AF"/>
    <w:rPr>
      <w:rFonts w:ascii="Times New Roman" w:hAnsi="Times New Roman" w:cs="Times New Roman" w:hint="default"/>
      <w:b w:val="0"/>
      <w:bCs w:val="0"/>
      <w:i/>
      <w:iCs/>
      <w:color w:val="000000"/>
      <w:sz w:val="30"/>
      <w:szCs w:val="30"/>
    </w:rPr>
  </w:style>
  <w:style w:type="character" w:customStyle="1" w:styleId="fontstyle31">
    <w:name w:val="fontstyle31"/>
    <w:basedOn w:val="DefaultParagraphFont"/>
    <w:rsid w:val="00D335AF"/>
    <w:rPr>
      <w:rFonts w:ascii="Times New Roman" w:hAnsi="Times New Roman" w:cs="Times New Roman" w:hint="default"/>
      <w:b/>
      <w:bCs/>
      <w:i w:val="0"/>
      <w:iCs w:val="0"/>
      <w:color w:val="000000"/>
      <w:sz w:val="30"/>
      <w:szCs w:val="30"/>
    </w:rPr>
  </w:style>
  <w:style w:type="character" w:customStyle="1" w:styleId="fontstyle41">
    <w:name w:val="fontstyle41"/>
    <w:basedOn w:val="DefaultParagraphFont"/>
    <w:rsid w:val="00D335AF"/>
    <w:rPr>
      <w:rFonts w:ascii="Times New Roman Bold" w:hAnsi="Times New Roman Bold" w:hint="default"/>
      <w:b/>
      <w:bCs/>
      <w:i w:val="0"/>
      <w:iCs w:val="0"/>
      <w:color w:val="000000"/>
      <w:sz w:val="30"/>
      <w:szCs w:val="30"/>
    </w:rPr>
  </w:style>
  <w:style w:type="character" w:customStyle="1" w:styleId="HeaderChar">
    <w:name w:val="Header Char"/>
    <w:basedOn w:val="DefaultParagraphFont"/>
    <w:link w:val="Header"/>
    <w:uiPriority w:val="99"/>
    <w:rsid w:val="00444777"/>
    <w:rPr>
      <w:rFonts w:ascii="Times New Roman" w:eastAsia="Times New Roman" w:hAnsi="Times New Roman" w:cs="Times New Roman"/>
      <w:color w:val="00000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21426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Calibri" w:eastAsia="Calibri" w:hAnsi="Calibri" w:cs="Calibr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9060">
      <w:bodyDiv w:val="1"/>
      <w:marLeft w:val="0"/>
      <w:marRight w:val="0"/>
      <w:marTop w:val="0"/>
      <w:marBottom w:val="0"/>
      <w:divBdr>
        <w:top w:val="none" w:sz="0" w:space="0" w:color="auto"/>
        <w:left w:val="none" w:sz="0" w:space="0" w:color="auto"/>
        <w:bottom w:val="none" w:sz="0" w:space="0" w:color="auto"/>
        <w:right w:val="none" w:sz="0" w:space="0" w:color="auto"/>
      </w:divBdr>
    </w:div>
    <w:div w:id="420034056">
      <w:bodyDiv w:val="1"/>
      <w:marLeft w:val="0"/>
      <w:marRight w:val="0"/>
      <w:marTop w:val="0"/>
      <w:marBottom w:val="0"/>
      <w:divBdr>
        <w:top w:val="none" w:sz="0" w:space="0" w:color="auto"/>
        <w:left w:val="none" w:sz="0" w:space="0" w:color="auto"/>
        <w:bottom w:val="none" w:sz="0" w:space="0" w:color="auto"/>
        <w:right w:val="none" w:sz="0" w:space="0" w:color="auto"/>
      </w:divBdr>
    </w:div>
    <w:div w:id="774129706">
      <w:bodyDiv w:val="1"/>
      <w:marLeft w:val="0"/>
      <w:marRight w:val="0"/>
      <w:marTop w:val="0"/>
      <w:marBottom w:val="0"/>
      <w:divBdr>
        <w:top w:val="none" w:sz="0" w:space="0" w:color="auto"/>
        <w:left w:val="none" w:sz="0" w:space="0" w:color="auto"/>
        <w:bottom w:val="none" w:sz="0" w:space="0" w:color="auto"/>
        <w:right w:val="none" w:sz="0" w:space="0" w:color="auto"/>
      </w:divBdr>
    </w:div>
    <w:div w:id="1764449240">
      <w:bodyDiv w:val="1"/>
      <w:marLeft w:val="0"/>
      <w:marRight w:val="0"/>
      <w:marTop w:val="0"/>
      <w:marBottom w:val="0"/>
      <w:divBdr>
        <w:top w:val="none" w:sz="0" w:space="0" w:color="auto"/>
        <w:left w:val="none" w:sz="0" w:space="0" w:color="auto"/>
        <w:bottom w:val="none" w:sz="0" w:space="0" w:color="auto"/>
        <w:right w:val="none" w:sz="0" w:space="0" w:color="auto"/>
      </w:divBdr>
    </w:div>
    <w:div w:id="1828013479">
      <w:bodyDiv w:val="1"/>
      <w:marLeft w:val="0"/>
      <w:marRight w:val="0"/>
      <w:marTop w:val="0"/>
      <w:marBottom w:val="0"/>
      <w:divBdr>
        <w:top w:val="none" w:sz="0" w:space="0" w:color="auto"/>
        <w:left w:val="none" w:sz="0" w:space="0" w:color="auto"/>
        <w:bottom w:val="none" w:sz="0" w:space="0" w:color="auto"/>
        <w:right w:val="none" w:sz="0" w:space="0" w:color="auto"/>
      </w:divBdr>
    </w:div>
    <w:div w:id="1865511793">
      <w:bodyDiv w:val="1"/>
      <w:marLeft w:val="0"/>
      <w:marRight w:val="0"/>
      <w:marTop w:val="0"/>
      <w:marBottom w:val="0"/>
      <w:divBdr>
        <w:top w:val="none" w:sz="0" w:space="0" w:color="auto"/>
        <w:left w:val="none" w:sz="0" w:space="0" w:color="auto"/>
        <w:bottom w:val="none" w:sz="0" w:space="0" w:color="auto"/>
        <w:right w:val="none" w:sz="0" w:space="0" w:color="auto"/>
      </w:divBdr>
    </w:div>
    <w:div w:id="1896968272">
      <w:bodyDiv w:val="1"/>
      <w:marLeft w:val="0"/>
      <w:marRight w:val="0"/>
      <w:marTop w:val="0"/>
      <w:marBottom w:val="0"/>
      <w:divBdr>
        <w:top w:val="none" w:sz="0" w:space="0" w:color="auto"/>
        <w:left w:val="none" w:sz="0" w:space="0" w:color="auto"/>
        <w:bottom w:val="none" w:sz="0" w:space="0" w:color="auto"/>
        <w:right w:val="none" w:sz="0" w:space="0" w:color="auto"/>
      </w:divBdr>
    </w:div>
    <w:div w:id="2073691927">
      <w:bodyDiv w:val="1"/>
      <w:marLeft w:val="0"/>
      <w:marRight w:val="0"/>
      <w:marTop w:val="0"/>
      <w:marBottom w:val="0"/>
      <w:divBdr>
        <w:top w:val="none" w:sz="0" w:space="0" w:color="auto"/>
        <w:left w:val="none" w:sz="0" w:space="0" w:color="auto"/>
        <w:bottom w:val="none" w:sz="0" w:space="0" w:color="auto"/>
        <w:right w:val="none" w:sz="0" w:space="0" w:color="auto"/>
      </w:divBdr>
    </w:div>
    <w:div w:id="2115243910">
      <w:bodyDiv w:val="1"/>
      <w:marLeft w:val="0"/>
      <w:marRight w:val="0"/>
      <w:marTop w:val="0"/>
      <w:marBottom w:val="0"/>
      <w:divBdr>
        <w:top w:val="none" w:sz="0" w:space="0" w:color="auto"/>
        <w:left w:val="none" w:sz="0" w:space="0" w:color="auto"/>
        <w:bottom w:val="none" w:sz="0" w:space="0" w:color="auto"/>
        <w:right w:val="none" w:sz="0" w:space="0" w:color="auto"/>
      </w:divBdr>
    </w:div>
    <w:div w:id="21263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CAEE-A933-446A-985F-7F99651B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110</cp:revision>
  <dcterms:created xsi:type="dcterms:W3CDTF">2025-03-12T07:01:00Z</dcterms:created>
  <dcterms:modified xsi:type="dcterms:W3CDTF">2026-02-07T01:58:00Z</dcterms:modified>
</cp:coreProperties>
</file>