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E47209" w:rsidRPr="00E47209" w14:paraId="7FF0EF6D" w14:textId="77777777" w:rsidTr="006B401A">
        <w:tc>
          <w:tcPr>
            <w:tcW w:w="3539" w:type="dxa"/>
          </w:tcPr>
          <w:p w14:paraId="451732AF" w14:textId="77777777" w:rsidR="006B401A" w:rsidRPr="00E47209" w:rsidRDefault="006B401A" w:rsidP="006B401A">
            <w:pPr>
              <w:spacing w:line="240" w:lineRule="auto"/>
              <w:ind w:firstLine="0"/>
              <w:jc w:val="center"/>
              <w:rPr>
                <w:rFonts w:ascii="Times New Roman" w:hAnsi="Times New Roman" w:cs="Times New Roman"/>
                <w:b/>
                <w:bCs/>
                <w:color w:val="000000" w:themeColor="text1"/>
                <w:sz w:val="26"/>
                <w:szCs w:val="26"/>
              </w:rPr>
            </w:pPr>
            <w:r w:rsidRPr="00E47209">
              <w:rPr>
                <w:rFonts w:ascii="Times New Roman" w:hAnsi="Times New Roman" w:cs="Times New Roman"/>
                <w:b/>
                <w:bCs/>
                <w:color w:val="000000" w:themeColor="text1"/>
                <w:sz w:val="26"/>
                <w:szCs w:val="26"/>
              </w:rPr>
              <w:t>ỦY BAN NHÂN DÂN</w:t>
            </w:r>
          </w:p>
          <w:p w14:paraId="63EA9EC8" w14:textId="77777777" w:rsidR="006B401A" w:rsidRPr="00E47209" w:rsidRDefault="006B401A" w:rsidP="006B401A">
            <w:pPr>
              <w:spacing w:line="240" w:lineRule="auto"/>
              <w:ind w:firstLine="0"/>
              <w:jc w:val="center"/>
              <w:rPr>
                <w:rFonts w:ascii="Times New Roman" w:hAnsi="Times New Roman" w:cs="Times New Roman"/>
                <w:color w:val="000000" w:themeColor="text1"/>
                <w:sz w:val="26"/>
                <w:szCs w:val="26"/>
              </w:rPr>
            </w:pPr>
            <w:r w:rsidRPr="00E47209">
              <w:rPr>
                <w:rFonts w:ascii="Times New Roman" w:hAnsi="Times New Roman" w:cs="Times New Roman"/>
                <w:b/>
                <w:bCs/>
                <w:color w:val="000000" w:themeColor="text1"/>
                <w:sz w:val="26"/>
                <w:szCs w:val="26"/>
              </w:rPr>
              <w:t>TỈNH TUYÊN QUANG</w:t>
            </w:r>
          </w:p>
          <w:p w14:paraId="5ABEC373" w14:textId="5A362B32" w:rsidR="006B401A" w:rsidRPr="00E47209" w:rsidRDefault="006B401A" w:rsidP="006B401A">
            <w:pPr>
              <w:spacing w:line="240" w:lineRule="auto"/>
              <w:ind w:firstLine="0"/>
              <w:rPr>
                <w:rFonts w:ascii="Times New Roman" w:hAnsi="Times New Roman" w:cs="Times New Roman"/>
                <w:color w:val="000000" w:themeColor="text1"/>
                <w:sz w:val="28"/>
                <w:szCs w:val="28"/>
              </w:rPr>
            </w:pPr>
            <w:r w:rsidRPr="00E47209">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6B23F43A" wp14:editId="4ADDA3EE">
                      <wp:simplePos x="0" y="0"/>
                      <wp:positionH relativeFrom="column">
                        <wp:posOffset>645160</wp:posOffset>
                      </wp:positionH>
                      <wp:positionV relativeFrom="paragraph">
                        <wp:posOffset>24130</wp:posOffset>
                      </wp:positionV>
                      <wp:extent cx="819150" cy="0"/>
                      <wp:effectExtent l="0" t="0" r="0" b="0"/>
                      <wp:wrapNone/>
                      <wp:docPr id="614014070"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222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8pt,1.9pt" to="11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KUmAEAAIc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b7vX3Usuqb48NVdepJTfAnpRNoN0NhQbqleHdylzLIZeIHy4Rq67fHRQ&#10;wC58BCPsyLG6yq5DAfeOxEFxO8evXWkfa1VkoRjr3Epq/0w6YwsN6qD8LXFF14gY8kr0NiD9Lmpe&#10;LqmaE/7i+uS12H7C8Vj7UMvB3a7OzpNZxunHc6Vf/5/ddwAAAP//AwBQSwMEFAAGAAgAAAAhANLx&#10;AizZAAAABwEAAA8AAABkcnMvZG93bnJldi54bWxMj0FLxDAQhe+C/yGM4M1NtgtFatNlWRDxIm5X&#10;79kmm1aTSUnSbv33jl70+PEeb76pt4t3bDYxDQElrFcCmMEu6AGthLfj4909sJQVauUCGglfJsG2&#10;ub6qVaXDBQ9mbrNlNIKpUhL6nMeK89T1xqu0CqNBys4hepUJo+U6qguNe8cLIUru1YB0oVej2fem&#10;+2wnL8E9x/nd7u0uTU+Hsv14PRcvx1nK25tl9wAsmyX/leFHn9ShIadTmFAn5ojFuqSqhA19QHmx&#10;EcSnX+ZNzf/7N98AAAD//wMAUEsBAi0AFAAGAAgAAAAhALaDOJL+AAAA4QEAABMAAAAAAAAAAAAA&#10;AAAAAAAAAFtDb250ZW50X1R5cGVzXS54bWxQSwECLQAUAAYACAAAACEAOP0h/9YAAACUAQAACwAA&#10;AAAAAAAAAAAAAAAvAQAAX3JlbHMvLnJlbHNQSwECLQAUAAYACAAAACEA5CQClJgBAACHAwAADgAA&#10;AAAAAAAAAAAAAAAuAgAAZHJzL2Uyb0RvYy54bWxQSwECLQAUAAYACAAAACEA0vECLNkAAAAHAQAA&#10;DwAAAAAAAAAAAAAAAADyAwAAZHJzL2Rvd25yZXYueG1sUEsFBgAAAAAEAAQA8wAAAPgEAAAAAA==&#10;" strokecolor="black [3200]" strokeweight=".5pt">
                      <v:stroke joinstyle="miter"/>
                    </v:line>
                  </w:pict>
                </mc:Fallback>
              </mc:AlternateContent>
            </w:r>
          </w:p>
        </w:tc>
        <w:tc>
          <w:tcPr>
            <w:tcW w:w="5670" w:type="dxa"/>
          </w:tcPr>
          <w:p w14:paraId="36C38D9A" w14:textId="77777777" w:rsidR="006B401A" w:rsidRPr="00E47209" w:rsidRDefault="006B401A" w:rsidP="006B401A">
            <w:pPr>
              <w:spacing w:line="240" w:lineRule="auto"/>
              <w:ind w:firstLine="0"/>
              <w:jc w:val="center"/>
              <w:rPr>
                <w:rFonts w:ascii="Times New Roman" w:hAnsi="Times New Roman" w:cs="Times New Roman"/>
                <w:b/>
                <w:bCs/>
                <w:color w:val="000000" w:themeColor="text1"/>
                <w:sz w:val="26"/>
                <w:szCs w:val="26"/>
              </w:rPr>
            </w:pPr>
            <w:r w:rsidRPr="00E47209">
              <w:rPr>
                <w:rFonts w:ascii="Times New Roman" w:hAnsi="Times New Roman" w:cs="Times New Roman"/>
                <w:b/>
                <w:bCs/>
                <w:color w:val="000000" w:themeColor="text1"/>
                <w:sz w:val="26"/>
                <w:szCs w:val="26"/>
              </w:rPr>
              <w:t>CỘNG HÒA XÃ HỘI CHỦ NGHĨA VIỆT NAM</w:t>
            </w:r>
          </w:p>
          <w:p w14:paraId="635CF35C" w14:textId="372D0900" w:rsidR="006B401A" w:rsidRPr="00E47209" w:rsidRDefault="006B401A" w:rsidP="006B401A">
            <w:pPr>
              <w:spacing w:line="240" w:lineRule="auto"/>
              <w:ind w:firstLine="0"/>
              <w:jc w:val="center"/>
              <w:rPr>
                <w:rFonts w:ascii="Times New Roman" w:hAnsi="Times New Roman" w:cs="Times New Roman"/>
                <w:color w:val="000000" w:themeColor="text1"/>
                <w:sz w:val="28"/>
                <w:szCs w:val="28"/>
              </w:rPr>
            </w:pPr>
            <w:r w:rsidRPr="00E47209">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55BF1B3E" wp14:editId="24B1A1BC">
                      <wp:simplePos x="0" y="0"/>
                      <wp:positionH relativeFrom="column">
                        <wp:posOffset>664845</wp:posOffset>
                      </wp:positionH>
                      <wp:positionV relativeFrom="paragraph">
                        <wp:posOffset>207645</wp:posOffset>
                      </wp:positionV>
                      <wp:extent cx="2120900" cy="0"/>
                      <wp:effectExtent l="0" t="0" r="0" b="0"/>
                      <wp:wrapNone/>
                      <wp:docPr id="2061578209" name="Straight Connector 2"/>
                      <wp:cNvGraphicFramePr/>
                      <a:graphic xmlns:a="http://schemas.openxmlformats.org/drawingml/2006/main">
                        <a:graphicData uri="http://schemas.microsoft.com/office/word/2010/wordprocessingShape">
                          <wps:wsp>
                            <wps:cNvCnPr/>
                            <wps:spPr>
                              <a:xfrm>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0A8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35pt,16.35pt" to="219.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2rlw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y57bbt65Zrqq9vzY0YKeW3gF6UzSCdDcWH6tXxXcocjKFXCB9uoesunxwU&#10;sAsfwQg7crCusutUwL0jcVTcz/FrV/rHWhVZKMY6t5LaP5Mu2EKDOil/S1zRNSKGvBK9DUi/i5qX&#10;a6rmjL+6Pnsttp9wPNVG1HJwu6uzy2iWefrxXOm3H2j/HQAA//8DAFBLAwQUAAYACAAAACEANRSD&#10;s90AAAAJAQAADwAAAGRycy9kb3ducmV2LnhtbEyPT0/DMAzF70h8h8hI3FhKN42pNJ2mSQhxQayD&#10;e9Z4abf8qZK0K98eIw7sZD/76fnncj1Zw0YMsfNOwOMsA4au8apzWsDn/uVhBSwm6ZQ03qGAb4yw&#10;rm5vSlkof3E7HOukGYW4WEgBbUp9wXlsWrQyznyPjnZHH6xMJIPmKsgLhVvD8yxbcis7Rxda2eO2&#10;xeZcD1aAeQvjl97qTRxed8v69HHM3/ejEPd30+YZWMIp/ZvhF5/QoSKmgx+cisyQzhZPZBUwz6mS&#10;YTFfUXP4G/Cq5NcfVD8AAAD//wMAUEsBAi0AFAAGAAgAAAAhALaDOJL+AAAA4QEAABMAAAAAAAAA&#10;AAAAAAAAAAAAAFtDb250ZW50X1R5cGVzXS54bWxQSwECLQAUAAYACAAAACEAOP0h/9YAAACUAQAA&#10;CwAAAAAAAAAAAAAAAAAvAQAAX3JlbHMvLnJlbHNQSwECLQAUAAYACAAAACEAM5etq5cBAACIAwAA&#10;DgAAAAAAAAAAAAAAAAAuAgAAZHJzL2Uyb0RvYy54bWxQSwECLQAUAAYACAAAACEANRSDs90AAAAJ&#10;AQAADwAAAAAAAAAAAAAAAADxAwAAZHJzL2Rvd25yZXYueG1sUEsFBgAAAAAEAAQA8wAAAPsEAAAA&#10;AA==&#10;" strokecolor="black [3200]" strokeweight=".5pt">
                      <v:stroke joinstyle="miter"/>
                    </v:line>
                  </w:pict>
                </mc:Fallback>
              </mc:AlternateContent>
            </w:r>
            <w:r w:rsidRPr="00E47209">
              <w:rPr>
                <w:rFonts w:ascii="Times New Roman" w:hAnsi="Times New Roman" w:cs="Times New Roman"/>
                <w:b/>
                <w:bCs/>
                <w:color w:val="000000" w:themeColor="text1"/>
                <w:sz w:val="28"/>
                <w:szCs w:val="28"/>
              </w:rPr>
              <w:t>Độc lập - Tự do - Hạnh phúc</w:t>
            </w:r>
          </w:p>
        </w:tc>
      </w:tr>
      <w:tr w:rsidR="00E47209" w:rsidRPr="00E47209" w14:paraId="29B3A4C6" w14:textId="77777777" w:rsidTr="006B401A">
        <w:tc>
          <w:tcPr>
            <w:tcW w:w="3539" w:type="dxa"/>
          </w:tcPr>
          <w:p w14:paraId="591E3516" w14:textId="5C675EB3" w:rsidR="006B401A" w:rsidRPr="00E47209" w:rsidRDefault="006B401A" w:rsidP="006B401A">
            <w:pPr>
              <w:spacing w:line="240" w:lineRule="auto"/>
              <w:ind w:firstLine="0"/>
              <w:jc w:val="center"/>
              <w:rPr>
                <w:rFonts w:ascii="Times New Roman" w:hAnsi="Times New Roman" w:cs="Times New Roman"/>
                <w:color w:val="000000" w:themeColor="text1"/>
                <w:sz w:val="26"/>
                <w:szCs w:val="26"/>
              </w:rPr>
            </w:pPr>
            <w:r w:rsidRPr="00E47209">
              <w:rPr>
                <w:rFonts w:ascii="Times New Roman" w:hAnsi="Times New Roman" w:cs="Times New Roman"/>
                <w:color w:val="000000" w:themeColor="text1"/>
                <w:sz w:val="26"/>
                <w:szCs w:val="26"/>
              </w:rPr>
              <w:t xml:space="preserve">Số:     </w:t>
            </w:r>
            <w:r w:rsidR="00516938" w:rsidRPr="00E47209">
              <w:rPr>
                <w:rFonts w:ascii="Times New Roman" w:hAnsi="Times New Roman" w:cs="Times New Roman"/>
                <w:color w:val="000000" w:themeColor="text1"/>
                <w:sz w:val="26"/>
                <w:szCs w:val="26"/>
              </w:rPr>
              <w:t xml:space="preserve">   </w:t>
            </w:r>
            <w:r w:rsidRPr="00E47209">
              <w:rPr>
                <w:rFonts w:ascii="Times New Roman" w:hAnsi="Times New Roman" w:cs="Times New Roman"/>
                <w:color w:val="000000" w:themeColor="text1"/>
                <w:sz w:val="26"/>
                <w:szCs w:val="26"/>
              </w:rPr>
              <w:t xml:space="preserve"> </w:t>
            </w:r>
            <w:r w:rsidR="00516938" w:rsidRPr="00E47209">
              <w:rPr>
                <w:rFonts w:ascii="Times New Roman" w:hAnsi="Times New Roman" w:cs="Times New Roman"/>
                <w:color w:val="000000" w:themeColor="text1"/>
                <w:sz w:val="26"/>
                <w:szCs w:val="26"/>
              </w:rPr>
              <w:t>/TTr-UBND</w:t>
            </w:r>
          </w:p>
        </w:tc>
        <w:tc>
          <w:tcPr>
            <w:tcW w:w="5670" w:type="dxa"/>
          </w:tcPr>
          <w:p w14:paraId="76E77D02" w14:textId="7D24B052" w:rsidR="006B401A" w:rsidRPr="00E47209" w:rsidRDefault="006B401A" w:rsidP="006B401A">
            <w:pPr>
              <w:spacing w:line="240" w:lineRule="auto"/>
              <w:ind w:firstLine="0"/>
              <w:rPr>
                <w:rFonts w:ascii="Times New Roman" w:hAnsi="Times New Roman" w:cs="Times New Roman"/>
                <w:i/>
                <w:iCs/>
                <w:color w:val="000000" w:themeColor="text1"/>
                <w:sz w:val="28"/>
                <w:szCs w:val="28"/>
              </w:rPr>
            </w:pPr>
            <w:r w:rsidRPr="00E47209">
              <w:rPr>
                <w:rFonts w:ascii="Times New Roman" w:hAnsi="Times New Roman" w:cs="Times New Roman"/>
                <w:i/>
                <w:iCs/>
                <w:color w:val="000000" w:themeColor="text1"/>
                <w:sz w:val="28"/>
                <w:szCs w:val="28"/>
              </w:rPr>
              <w:t xml:space="preserve">         Tuyên Quang, ngày     tháng 6 năm 2026</w:t>
            </w:r>
          </w:p>
        </w:tc>
      </w:tr>
    </w:tbl>
    <w:p w14:paraId="4EBB0416" w14:textId="7A7AB7A8" w:rsidR="00B32D28" w:rsidRPr="00E47209" w:rsidRDefault="00C81EB7" w:rsidP="00213106">
      <w:pPr>
        <w:spacing w:before="0" w:line="240" w:lineRule="auto"/>
        <w:ind w:firstLine="0"/>
        <w:jc w:val="center"/>
        <w:rPr>
          <w:rFonts w:ascii="Times New Roman" w:hAnsi="Times New Roman" w:cs="Times New Roman"/>
          <w:color w:val="000000" w:themeColor="text1"/>
          <w:sz w:val="28"/>
          <w:szCs w:val="28"/>
        </w:rPr>
      </w:pPr>
      <w:r w:rsidRPr="00E47209">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50E4AD1A" wp14:editId="0EC8279C">
                <wp:simplePos x="0" y="0"/>
                <wp:positionH relativeFrom="column">
                  <wp:posOffset>748335</wp:posOffset>
                </wp:positionH>
                <wp:positionV relativeFrom="paragraph">
                  <wp:posOffset>19989</wp:posOffset>
                </wp:positionV>
                <wp:extent cx="826618" cy="256032"/>
                <wp:effectExtent l="0" t="0" r="12065" b="10795"/>
                <wp:wrapNone/>
                <wp:docPr id="1361297389" name="Text Box 3"/>
                <wp:cNvGraphicFramePr/>
                <a:graphic xmlns:a="http://schemas.openxmlformats.org/drawingml/2006/main">
                  <a:graphicData uri="http://schemas.microsoft.com/office/word/2010/wordprocessingShape">
                    <wps:wsp>
                      <wps:cNvSpPr txBox="1"/>
                      <wps:spPr>
                        <a:xfrm>
                          <a:off x="0" y="0"/>
                          <a:ext cx="826618" cy="256032"/>
                        </a:xfrm>
                        <a:prstGeom prst="rect">
                          <a:avLst/>
                        </a:prstGeom>
                        <a:solidFill>
                          <a:schemeClr val="lt1"/>
                        </a:solidFill>
                        <a:ln w="6350">
                          <a:solidFill>
                            <a:prstClr val="black"/>
                          </a:solidFill>
                        </a:ln>
                      </wps:spPr>
                      <wps:txbx>
                        <w:txbxContent>
                          <w:p w14:paraId="1F0E3A69" w14:textId="0DB5763F" w:rsidR="00C81EB7" w:rsidRPr="00C81EB7" w:rsidRDefault="00C81EB7" w:rsidP="00C81EB7">
                            <w:pPr>
                              <w:spacing w:before="0" w:line="240" w:lineRule="auto"/>
                              <w:ind w:firstLine="0"/>
                              <w:jc w:val="center"/>
                              <w:rPr>
                                <w:rFonts w:ascii="Times New Roman" w:hAnsi="Times New Roman" w:cs="Times New Roman"/>
                              </w:rPr>
                            </w:pPr>
                            <w:r w:rsidRPr="00C81EB7">
                              <w:rPr>
                                <w:rFonts w:ascii="Times New Roman" w:hAnsi="Times New Roman" w:cs="Times New Roman"/>
                              </w:rPr>
                              <w:t>DỰ THẢO</w:t>
                            </w:r>
                            <w:r w:rsidR="00516938">
                              <w:rPr>
                                <w:rFonts w:ascii="Times New Roman" w:hAnsi="Times New Roman" w:cs="Times New Roman"/>
                              </w:rPr>
                              <w:t xml:space="preserve"> ngày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4AD1A" id="_x0000_t202" coordsize="21600,21600" o:spt="202" path="m,l,21600r21600,l21600,xe">
                <v:stroke joinstyle="miter"/>
                <v:path gradientshapeok="t" o:connecttype="rect"/>
              </v:shapetype>
              <v:shape id="Text Box 3" o:spid="_x0000_s1026" type="#_x0000_t202" style="position:absolute;left:0;text-align:left;margin-left:58.9pt;margin-top:1.55pt;width:65.1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JWNwIAAHsEAAAOAAAAZHJzL2Uyb0RvYy54bWysVE1v2zAMvQ/YfxB0X+y4S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HwNptMhthnjq5sPElvsoCSXC4b6/xXATUJRk4tdiWS&#10;xQ5r57vQU0h4y4GqilWlVNwEJYilsuTAsIfKxxQR/E2U0qTJ6eRmnEbgN74Afb6/VYz/6NO7ikI8&#10;pTHnS+nB8u227fnYQnFEmix0CnKGryrEXTPnn5lFySAzOAb+CRepAJOB3qKkBPvrb+chHjuJXkoa&#10;lGBO3c89s4IS9U1jj++Go1HQbNyMxp8z3Nhrz/bao/f1EpChIQ6c4dEM8V6dTGmhfsVpWYRX0cU0&#10;x7dz6k/m0neDgdPGxWIRg1Clhvm13hgeoENHAp8v7Suzpu+nRyE8wkmsbPqurV1suKlhsfcgq9jz&#10;QHDHas87Kjyqpp/GMELX+xh1+WfMfwMAAP//AwBQSwMEFAAGAAgAAAAhAGxGo0bbAAAACAEAAA8A&#10;AABkcnMvZG93bnJldi54bWxMjzFPwzAUhHck/oP1kNiokzaCNI1TASosTC2I+TV2bYvYjmw3Df+e&#10;xwTj6U5337Xb2Q1sUjHZ4AWUiwKY8n2Q1msBH+8vdzWwlNFLHIJXAr5Vgm13fdViI8PF79V0yJpR&#10;iU8NCjA5jw3nqTfKYVqEUXnyTiE6zCSj5jLihcrdwJdFcc8dWk8LBkf1bFT/dTg7AbsnvdZ9jdHs&#10;amntNH+e3vSrELc38+MGWFZz/gvDLz6hQ0dMx3D2MrGBdPlA6FnAqgRG/rKq6dtRQLWqgHct/3+g&#10;+wEAAP//AwBQSwECLQAUAAYACAAAACEAtoM4kv4AAADhAQAAEwAAAAAAAAAAAAAAAAAAAAAAW0Nv&#10;bnRlbnRfVHlwZXNdLnhtbFBLAQItABQABgAIAAAAIQA4/SH/1gAAAJQBAAALAAAAAAAAAAAAAAAA&#10;AC8BAABfcmVscy8ucmVsc1BLAQItABQABgAIAAAAIQAWw7JWNwIAAHsEAAAOAAAAAAAAAAAAAAAA&#10;AC4CAABkcnMvZTJvRG9jLnhtbFBLAQItABQABgAIAAAAIQBsRqNG2wAAAAgBAAAPAAAAAAAAAAAA&#10;AAAAAJEEAABkcnMvZG93bnJldi54bWxQSwUGAAAAAAQABADzAAAAmQUAAAAA&#10;" fillcolor="white [3201]" strokeweight=".5pt">
                <v:textbox>
                  <w:txbxContent>
                    <w:p w14:paraId="1F0E3A69" w14:textId="0DB5763F" w:rsidR="00C81EB7" w:rsidRPr="00C81EB7" w:rsidRDefault="00C81EB7" w:rsidP="00C81EB7">
                      <w:pPr>
                        <w:spacing w:before="0" w:line="240" w:lineRule="auto"/>
                        <w:ind w:firstLine="0"/>
                        <w:jc w:val="center"/>
                        <w:rPr>
                          <w:rFonts w:ascii="Times New Roman" w:hAnsi="Times New Roman" w:cs="Times New Roman"/>
                        </w:rPr>
                      </w:pPr>
                      <w:r w:rsidRPr="00C81EB7">
                        <w:rPr>
                          <w:rFonts w:ascii="Times New Roman" w:hAnsi="Times New Roman" w:cs="Times New Roman"/>
                        </w:rPr>
                        <w:t>DỰ THẢO</w:t>
                      </w:r>
                      <w:r w:rsidR="00516938">
                        <w:rPr>
                          <w:rFonts w:ascii="Times New Roman" w:hAnsi="Times New Roman" w:cs="Times New Roman"/>
                        </w:rPr>
                        <w:t xml:space="preserve"> ngày</w:t>
                      </w:r>
                    </w:p>
                  </w:txbxContent>
                </v:textbox>
              </v:shape>
            </w:pict>
          </mc:Fallback>
        </mc:AlternateContent>
      </w:r>
    </w:p>
    <w:p w14:paraId="4BD9BA25" w14:textId="77777777" w:rsidR="00213106" w:rsidRPr="00E47209" w:rsidRDefault="00213106" w:rsidP="00213106">
      <w:pPr>
        <w:spacing w:before="0" w:line="240" w:lineRule="auto"/>
        <w:ind w:firstLine="0"/>
        <w:jc w:val="center"/>
        <w:rPr>
          <w:rFonts w:ascii="Times New Roman" w:hAnsi="Times New Roman" w:cs="Times New Roman"/>
          <w:b/>
          <w:bCs/>
          <w:color w:val="000000" w:themeColor="text1"/>
        </w:rPr>
      </w:pPr>
    </w:p>
    <w:p w14:paraId="60B89E89" w14:textId="4EE89645" w:rsidR="00213106" w:rsidRPr="00E47209" w:rsidRDefault="00213106" w:rsidP="00BB44E5">
      <w:pPr>
        <w:spacing w:before="0" w:line="240" w:lineRule="auto"/>
        <w:ind w:firstLine="0"/>
        <w:jc w:val="center"/>
        <w:rPr>
          <w:rFonts w:ascii="Times New Roman" w:hAnsi="Times New Roman" w:cs="Times New Roman"/>
          <w:b/>
          <w:bCs/>
          <w:color w:val="000000" w:themeColor="text1"/>
          <w:sz w:val="28"/>
          <w:szCs w:val="28"/>
        </w:rPr>
      </w:pPr>
      <w:r w:rsidRPr="00E47209">
        <w:rPr>
          <w:rFonts w:ascii="Times New Roman" w:hAnsi="Times New Roman" w:cs="Times New Roman"/>
          <w:b/>
          <w:bCs/>
          <w:color w:val="000000" w:themeColor="text1"/>
          <w:sz w:val="28"/>
          <w:szCs w:val="28"/>
        </w:rPr>
        <w:t>TỜ TRÌNH</w:t>
      </w:r>
    </w:p>
    <w:p w14:paraId="7E943865" w14:textId="45C4A838" w:rsidR="00345C51" w:rsidRPr="00E47209" w:rsidRDefault="00213106" w:rsidP="00BB44E5">
      <w:pPr>
        <w:spacing w:before="0" w:line="240" w:lineRule="auto"/>
        <w:ind w:firstLine="0"/>
        <w:jc w:val="center"/>
        <w:rPr>
          <w:rFonts w:ascii="Times New Roman Bold" w:hAnsi="Times New Roman Bold" w:cs="Times New Roman"/>
          <w:b/>
          <w:bCs/>
          <w:iCs/>
          <w:color w:val="000000" w:themeColor="text1"/>
          <w:spacing w:val="-2"/>
          <w:sz w:val="28"/>
          <w:szCs w:val="28"/>
          <w:lang w:val="vi-VN"/>
        </w:rPr>
      </w:pPr>
      <w:r w:rsidRPr="00E47209">
        <w:rPr>
          <w:rFonts w:ascii="Times New Roman Bold" w:hAnsi="Times New Roman Bold" w:cs="Times New Roman"/>
          <w:b/>
          <w:bCs/>
          <w:color w:val="000000" w:themeColor="text1"/>
          <w:spacing w:val="-2"/>
          <w:sz w:val="28"/>
          <w:szCs w:val="28"/>
        </w:rPr>
        <w:t xml:space="preserve">Dự thảo Nghị quyết của Hội đồng nhân dân tỉnh </w:t>
      </w:r>
      <w:r w:rsidR="00EF7BDF" w:rsidRPr="00E47209">
        <w:rPr>
          <w:rFonts w:ascii="Times New Roman Bold" w:hAnsi="Times New Roman Bold" w:cs="Times New Roman"/>
          <w:b/>
          <w:bCs/>
          <w:iCs/>
          <w:color w:val="000000" w:themeColor="text1"/>
          <w:spacing w:val="-2"/>
          <w:sz w:val="28"/>
          <w:szCs w:val="28"/>
        </w:rPr>
        <w:t>quy định về</w:t>
      </w:r>
      <w:r w:rsidR="006A117A" w:rsidRPr="00E47209">
        <w:rPr>
          <w:rFonts w:cs="Times New Roman"/>
          <w:b/>
          <w:bCs/>
          <w:iCs/>
          <w:color w:val="000000" w:themeColor="text1"/>
          <w:spacing w:val="-2"/>
          <w:sz w:val="28"/>
          <w:szCs w:val="28"/>
          <w:lang w:val="vi-VN"/>
        </w:rPr>
        <w:t xml:space="preserve"> </w:t>
      </w:r>
      <w:r w:rsidR="00EF7BDF" w:rsidRPr="00E47209">
        <w:rPr>
          <w:rFonts w:ascii="Times New Roman Bold" w:hAnsi="Times New Roman Bold" w:cs="Times New Roman"/>
          <w:b/>
          <w:bCs/>
          <w:iCs/>
          <w:color w:val="000000" w:themeColor="text1"/>
          <w:spacing w:val="-2"/>
          <w:sz w:val="28"/>
          <w:szCs w:val="28"/>
        </w:rPr>
        <w:t>người hoạt động không chuyên trách, người tham gia hoạt động và mức khoán kinh phí hoạt động ở thôn, tổ dân phố</w:t>
      </w:r>
      <w:r w:rsidR="006A117A" w:rsidRPr="00E47209">
        <w:rPr>
          <w:rFonts w:cs="Times New Roman"/>
          <w:b/>
          <w:bCs/>
          <w:iCs/>
          <w:color w:val="000000" w:themeColor="text1"/>
          <w:spacing w:val="-2"/>
          <w:sz w:val="28"/>
          <w:szCs w:val="28"/>
          <w:lang w:val="vi-VN"/>
        </w:rPr>
        <w:t xml:space="preserve"> </w:t>
      </w:r>
      <w:r w:rsidR="00EF7BDF" w:rsidRPr="00E47209">
        <w:rPr>
          <w:rFonts w:ascii="Times New Roman Bold" w:hAnsi="Times New Roman Bold" w:cs="Times New Roman"/>
          <w:b/>
          <w:bCs/>
          <w:iCs/>
          <w:color w:val="000000" w:themeColor="text1"/>
          <w:spacing w:val="-2"/>
          <w:sz w:val="28"/>
          <w:szCs w:val="28"/>
        </w:rPr>
        <w:t>trên địa bàn tỉnh Tuyên Quang</w:t>
      </w:r>
    </w:p>
    <w:p w14:paraId="3E3A34A1" w14:textId="4615B553" w:rsidR="00213106" w:rsidRPr="00E47209" w:rsidRDefault="00BB44E5" w:rsidP="00345C51">
      <w:pPr>
        <w:spacing w:line="240" w:lineRule="auto"/>
        <w:ind w:firstLine="0"/>
        <w:jc w:val="center"/>
        <w:rPr>
          <w:rFonts w:ascii="Times New Roman" w:hAnsi="Times New Roman" w:cs="Times New Roman"/>
          <w:b/>
          <w:bCs/>
          <w:color w:val="000000" w:themeColor="text1"/>
        </w:rPr>
      </w:pPr>
      <w:r w:rsidRPr="00E47209">
        <w:rPr>
          <w:rFonts w:ascii="Times New Roman" w:hAnsi="Times New Roman" w:cs="Times New Roman"/>
          <w:b/>
          <w:bCs/>
          <w:noProof/>
          <w:color w:val="000000" w:themeColor="text1"/>
          <w:sz w:val="36"/>
          <w:szCs w:val="36"/>
        </w:rPr>
        <mc:AlternateContent>
          <mc:Choice Requires="wps">
            <w:drawing>
              <wp:anchor distT="0" distB="0" distL="114300" distR="114300" simplePos="0" relativeHeight="251662336" behindDoc="0" locked="0" layoutInCell="1" allowOverlap="1" wp14:anchorId="1E2F1EBB" wp14:editId="4EC1AE7A">
                <wp:simplePos x="0" y="0"/>
                <wp:positionH relativeFrom="margin">
                  <wp:posOffset>2357755</wp:posOffset>
                </wp:positionH>
                <wp:positionV relativeFrom="paragraph">
                  <wp:posOffset>15875</wp:posOffset>
                </wp:positionV>
                <wp:extent cx="1044575" cy="0"/>
                <wp:effectExtent l="0" t="0" r="0" b="0"/>
                <wp:wrapNone/>
                <wp:docPr id="862710254" name="Straight Connector 4"/>
                <wp:cNvGraphicFramePr/>
                <a:graphic xmlns:a="http://schemas.openxmlformats.org/drawingml/2006/main">
                  <a:graphicData uri="http://schemas.microsoft.com/office/word/2010/wordprocessingShape">
                    <wps:wsp>
                      <wps:cNvCnPr/>
                      <wps:spPr>
                        <a:xfrm>
                          <a:off x="0" y="0"/>
                          <a:ext cx="104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22851"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85.65pt,1.25pt" to="267.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v5mQEAAIgDAAAOAAAAZHJzL2Uyb0RvYy54bWysU9uO0zAQfUfiHyy/06SrXU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v2+vrmzY0U+vzWXIiRUn4P6EXZ9NLZUHyoTu0/pMzBGHqG8OESuu7y&#10;wUEBu/AZjLBDCVbZdSrgzpHYK+7n8LQu/WOtiiwUY51bSO3fSSdsoUGdlH8lLugaEUNeiN4GpD9F&#10;zfM5VXPEn10fvRbbjzgcaiNqObjd1dlpNMs8/Xyu9MsPtP0BAAD//wMAUEsDBBQABgAIAAAAIQCH&#10;gOrz3AAAAAcBAAAPAAAAZHJzL2Rvd25yZXYueG1sTI9PS8NAFMTvgt9heYI3u2lCqqTZlFIQ8SI2&#10;1fs2+7pJ3T8hu0njt/fpxR6HGWZ+U25ma9iEQ+i8E7BcJMDQNV51Tgv4ODw/PAELUToljXco4BsD&#10;bKrbm1IWyl/cHqc6akYlLhRSQBtjX3AemhatDAvfoyPv5AcrI8lBczXIC5Vbw9MkWXErO0cLrexx&#10;12LzVY9WgHkdpk+909swvuxX9fn9lL4dJiHu7+btGljEOf6H4Ref0KEipqMfnQrMCMgelxlFBaQ5&#10;MPLzLKcrxz/Nq5Jf81c/AAAA//8DAFBLAQItABQABgAIAAAAIQC2gziS/gAAAOEBAAATAAAAAAAA&#10;AAAAAAAAAAAAAABbQ29udGVudF9UeXBlc10ueG1sUEsBAi0AFAAGAAgAAAAhADj9If/WAAAAlAEA&#10;AAsAAAAAAAAAAAAAAAAALwEAAF9yZWxzLy5yZWxzUEsBAi0AFAAGAAgAAAAhAH1HC/mZAQAAiAMA&#10;AA4AAAAAAAAAAAAAAAAALgIAAGRycy9lMm9Eb2MueG1sUEsBAi0AFAAGAAgAAAAhAIeA6vPcAAAA&#10;BwEAAA8AAAAAAAAAAAAAAAAA8wMAAGRycy9kb3ducmV2LnhtbFBLBQYAAAAABAAEAPMAAAD8BAAA&#10;AAA=&#10;" strokecolor="black [3200]" strokeweight=".5pt">
                <v:stroke joinstyle="miter"/>
                <w10:wrap anchorx="margin"/>
              </v:line>
            </w:pict>
          </mc:Fallback>
        </mc:AlternateContent>
      </w:r>
      <w:r w:rsidR="007E3004" w:rsidRPr="00E47209">
        <w:rPr>
          <w:rFonts w:ascii="Times New Roman" w:hAnsi="Times New Roman" w:cs="Times New Roman"/>
          <w:b/>
          <w:bCs/>
          <w:color w:val="000000" w:themeColor="text1"/>
          <w:sz w:val="36"/>
          <w:szCs w:val="36"/>
        </w:rPr>
        <w:tab/>
      </w:r>
    </w:p>
    <w:p w14:paraId="01C4DBA1" w14:textId="6848D7A5" w:rsidR="00180ED7" w:rsidRPr="00E47209" w:rsidRDefault="003751EA" w:rsidP="00213106">
      <w:pPr>
        <w:spacing w:before="0" w:line="240" w:lineRule="auto"/>
        <w:ind w:firstLine="0"/>
        <w:jc w:val="center"/>
        <w:rPr>
          <w:rFonts w:ascii="Times New Roman" w:hAnsi="Times New Roman" w:cs="Times New Roman"/>
          <w:color w:val="000000" w:themeColor="text1"/>
          <w:sz w:val="28"/>
          <w:szCs w:val="28"/>
        </w:rPr>
      </w:pPr>
      <w:r w:rsidRPr="00E47209">
        <w:rPr>
          <w:rFonts w:ascii="Times New Roman" w:hAnsi="Times New Roman" w:cs="Times New Roman"/>
          <w:color w:val="000000" w:themeColor="text1"/>
          <w:sz w:val="28"/>
          <w:szCs w:val="28"/>
        </w:rPr>
        <w:t>Kính gửi: Hội đồng nhân dân tỉnh Tuyên Quang.</w:t>
      </w:r>
    </w:p>
    <w:p w14:paraId="224BDE3F" w14:textId="77777777" w:rsidR="003751EA" w:rsidRPr="00E47209" w:rsidRDefault="003751EA" w:rsidP="00213106">
      <w:pPr>
        <w:spacing w:before="0" w:line="240" w:lineRule="auto"/>
        <w:ind w:firstLine="0"/>
        <w:jc w:val="center"/>
        <w:rPr>
          <w:rFonts w:ascii="Times New Roman" w:hAnsi="Times New Roman" w:cs="Times New Roman"/>
          <w:color w:val="000000" w:themeColor="text1"/>
          <w:sz w:val="16"/>
          <w:szCs w:val="16"/>
        </w:rPr>
      </w:pPr>
    </w:p>
    <w:p w14:paraId="79435D6D" w14:textId="7131A373" w:rsidR="00472A2B" w:rsidRPr="00E47209" w:rsidRDefault="00472A2B" w:rsidP="00571B99">
      <w:pPr>
        <w:spacing w:after="120" w:line="240" w:lineRule="auto"/>
        <w:rPr>
          <w:rFonts w:ascii="Times New Roman" w:hAnsi="Times New Roman" w:cs="Times New Roman"/>
          <w:color w:val="000000" w:themeColor="text1"/>
          <w:sz w:val="28"/>
          <w:szCs w:val="28"/>
        </w:rPr>
      </w:pPr>
      <w:r w:rsidRPr="00E47209">
        <w:rPr>
          <w:rFonts w:ascii="Times New Roman" w:hAnsi="Times New Roman" w:cs="Times New Roman"/>
          <w:color w:val="000000" w:themeColor="text1"/>
          <w:spacing w:val="8"/>
          <w:sz w:val="28"/>
          <w:szCs w:val="28"/>
        </w:rPr>
        <w:t xml:space="preserve">Thực hiện quy định của Luật Ban hành văn bản quy phạm pháp luật, </w:t>
      </w:r>
      <w:r w:rsidRPr="00E47209">
        <w:rPr>
          <w:rFonts w:ascii="Times New Roman" w:hAnsi="Times New Roman" w:cs="Times New Roman"/>
          <w:color w:val="000000" w:themeColor="text1"/>
          <w:spacing w:val="4"/>
          <w:sz w:val="28"/>
          <w:szCs w:val="28"/>
        </w:rPr>
        <w:t xml:space="preserve">Ủy ban nhân dân tỉnh kính trình Hội đồng nhân dân tỉnh dự thảo </w:t>
      </w:r>
      <w:r w:rsidR="00345C51" w:rsidRPr="00E47209">
        <w:rPr>
          <w:rFonts w:ascii="Times New Roman" w:hAnsi="Times New Roman" w:cs="Times New Roman"/>
          <w:bCs/>
          <w:color w:val="000000" w:themeColor="text1"/>
          <w:sz w:val="28"/>
          <w:szCs w:val="28"/>
        </w:rPr>
        <w:t xml:space="preserve">Nghị quyết </w:t>
      </w:r>
      <w:r w:rsidR="00350971" w:rsidRPr="00E47209">
        <w:rPr>
          <w:rFonts w:ascii="Times New Roman" w:hAnsi="Times New Roman" w:cs="Times New Roman"/>
          <w:bCs/>
          <w:color w:val="000000" w:themeColor="text1"/>
          <w:sz w:val="28"/>
          <w:szCs w:val="28"/>
        </w:rPr>
        <w:t xml:space="preserve">quy định về người hoạt động không chuyên trách, người tham gia hoạt động và mức khoán kinh phí hoạt động ở thôn, tổ dân phố trên địa bàn tỉnh Tuyên Quang </w:t>
      </w:r>
      <w:r w:rsidRPr="00E47209">
        <w:rPr>
          <w:rFonts w:ascii="Times New Roman" w:hAnsi="Times New Roman" w:cs="Times New Roman"/>
          <w:color w:val="000000" w:themeColor="text1"/>
          <w:sz w:val="28"/>
          <w:szCs w:val="28"/>
        </w:rPr>
        <w:t>như sau:</w:t>
      </w:r>
    </w:p>
    <w:p w14:paraId="2837D376" w14:textId="6B378B0A" w:rsidR="00472A2B" w:rsidRPr="00E47209" w:rsidRDefault="00472A2B" w:rsidP="00571B99">
      <w:pPr>
        <w:spacing w:after="120" w:line="240" w:lineRule="auto"/>
        <w:ind w:firstLine="0"/>
        <w:rPr>
          <w:rFonts w:ascii="Times New Roman" w:hAnsi="Times New Roman" w:cs="Times New Roman"/>
          <w:b/>
          <w:bCs/>
          <w:color w:val="000000" w:themeColor="text1"/>
          <w:sz w:val="28"/>
          <w:szCs w:val="28"/>
        </w:rPr>
      </w:pPr>
      <w:r w:rsidRPr="00E47209">
        <w:rPr>
          <w:rFonts w:ascii="Times New Roman" w:hAnsi="Times New Roman" w:cs="Times New Roman"/>
          <w:color w:val="000000" w:themeColor="text1"/>
          <w:sz w:val="28"/>
          <w:szCs w:val="28"/>
        </w:rPr>
        <w:tab/>
      </w:r>
      <w:r w:rsidRPr="00E47209">
        <w:rPr>
          <w:rFonts w:ascii="Times New Roman" w:hAnsi="Times New Roman" w:cs="Times New Roman"/>
          <w:b/>
          <w:bCs/>
          <w:color w:val="000000" w:themeColor="text1"/>
          <w:sz w:val="28"/>
          <w:szCs w:val="28"/>
        </w:rPr>
        <w:t>I. SỰ CẦN THIẾT BAN HÀNH VĂN BẢN</w:t>
      </w:r>
    </w:p>
    <w:p w14:paraId="7684232A" w14:textId="060BEA7F" w:rsidR="00472A2B" w:rsidRPr="00E47209" w:rsidRDefault="00472A2B" w:rsidP="00571B99">
      <w:pPr>
        <w:spacing w:after="120" w:line="240" w:lineRule="auto"/>
        <w:ind w:firstLine="0"/>
        <w:rPr>
          <w:rFonts w:ascii="Times New Roman" w:hAnsi="Times New Roman" w:cs="Times New Roman"/>
          <w:b/>
          <w:bCs/>
          <w:color w:val="000000" w:themeColor="text1"/>
          <w:sz w:val="28"/>
          <w:szCs w:val="28"/>
        </w:rPr>
      </w:pPr>
      <w:r w:rsidRPr="00E47209">
        <w:rPr>
          <w:rFonts w:ascii="Times New Roman" w:hAnsi="Times New Roman" w:cs="Times New Roman"/>
          <w:b/>
          <w:bCs/>
          <w:color w:val="000000" w:themeColor="text1"/>
          <w:sz w:val="28"/>
          <w:szCs w:val="28"/>
        </w:rPr>
        <w:tab/>
        <w:t>1. Cơ sở chính trị, pháp lý</w:t>
      </w:r>
    </w:p>
    <w:p w14:paraId="38AD1D86" w14:textId="789A3526" w:rsidR="00F832DB" w:rsidRPr="00E47209" w:rsidRDefault="00F832DB" w:rsidP="00571B99">
      <w:pPr>
        <w:widowControl w:val="0"/>
        <w:autoSpaceDE w:val="0"/>
        <w:autoSpaceDN w:val="0"/>
        <w:adjustRightInd w:val="0"/>
        <w:spacing w:after="120" w:line="240" w:lineRule="auto"/>
        <w:ind w:firstLine="709"/>
        <w:rPr>
          <w:rFonts w:ascii="Times New Roman" w:eastAsia="Calibri" w:hAnsi="Times New Roman" w:cs="Times New Roman"/>
          <w:b/>
          <w:i/>
          <w:iCs/>
          <w:color w:val="000000" w:themeColor="text1"/>
          <w:spacing w:val="-4"/>
          <w:kern w:val="0"/>
          <w:sz w:val="28"/>
          <w:szCs w:val="28"/>
          <w14:ligatures w14:val="none"/>
        </w:rPr>
      </w:pPr>
      <w:r w:rsidRPr="00E47209">
        <w:rPr>
          <w:rFonts w:ascii="Times New Roman" w:hAnsi="Times New Roman" w:cs="Times New Roman"/>
          <w:b/>
          <w:bCs/>
          <w:i/>
          <w:iCs/>
          <w:color w:val="000000" w:themeColor="text1"/>
          <w:sz w:val="28"/>
          <w:szCs w:val="28"/>
        </w:rPr>
        <w:t>1.</w:t>
      </w:r>
      <w:r w:rsidRPr="00E47209">
        <w:rPr>
          <w:rFonts w:ascii="Times New Roman" w:eastAsia="Calibri" w:hAnsi="Times New Roman" w:cs="Times New Roman"/>
          <w:b/>
          <w:bCs/>
          <w:i/>
          <w:iCs/>
          <w:color w:val="000000" w:themeColor="text1"/>
          <w:spacing w:val="-4"/>
          <w:kern w:val="0"/>
          <w:sz w:val="28"/>
          <w:szCs w:val="28"/>
          <w14:ligatures w14:val="none"/>
        </w:rPr>
        <w:t>1. Căn</w:t>
      </w:r>
      <w:r w:rsidRPr="00E47209">
        <w:rPr>
          <w:rFonts w:ascii="Times New Roman" w:eastAsia="Calibri" w:hAnsi="Times New Roman" w:cs="Times New Roman"/>
          <w:b/>
          <w:i/>
          <w:iCs/>
          <w:color w:val="000000" w:themeColor="text1"/>
          <w:spacing w:val="-4"/>
          <w:kern w:val="0"/>
          <w:sz w:val="28"/>
          <w:szCs w:val="28"/>
          <w14:ligatures w14:val="none"/>
        </w:rPr>
        <w:t xml:space="preserve"> cứ chính trị</w:t>
      </w:r>
    </w:p>
    <w:p w14:paraId="49A92788" w14:textId="28AC1884" w:rsidR="00F832DB" w:rsidRPr="00E47209" w:rsidRDefault="00CD0D05" w:rsidP="00571B99">
      <w:pPr>
        <w:widowControl w:val="0"/>
        <w:spacing w:after="120" w:line="240" w:lineRule="auto"/>
        <w:ind w:firstLine="709"/>
        <w:rPr>
          <w:rFonts w:ascii="Times New Roman" w:eastAsia="Calibri" w:hAnsi="Times New Roman" w:cs="Times New Roman"/>
          <w:color w:val="000000" w:themeColor="text1"/>
          <w:kern w:val="0"/>
          <w:sz w:val="28"/>
          <w:szCs w:val="28"/>
          <w:lang w:val="pt-BR"/>
          <w14:ligatures w14:val="none"/>
        </w:rPr>
      </w:pPr>
      <w:r w:rsidRPr="00E47209">
        <w:rPr>
          <w:rFonts w:ascii="Times New Roman" w:eastAsia="Calibri" w:hAnsi="Times New Roman" w:cs="Times New Roman"/>
          <w:color w:val="000000" w:themeColor="text1"/>
          <w:spacing w:val="-4"/>
          <w:kern w:val="0"/>
          <w:sz w:val="28"/>
          <w:szCs w:val="28"/>
          <w:lang w:val="pt-BR"/>
          <w14:ligatures w14:val="none"/>
        </w:rPr>
        <w:t>-</w:t>
      </w:r>
      <w:r w:rsidR="00F832DB" w:rsidRPr="00E47209">
        <w:rPr>
          <w:rFonts w:ascii="Times New Roman" w:eastAsia="Calibri" w:hAnsi="Times New Roman" w:cs="Times New Roman"/>
          <w:color w:val="000000" w:themeColor="text1"/>
          <w:spacing w:val="-4"/>
          <w:kern w:val="0"/>
          <w:sz w:val="28"/>
          <w:szCs w:val="28"/>
          <w:lang w:val="pt-BR"/>
          <w14:ligatures w14:val="none"/>
        </w:rPr>
        <w:t xml:space="preserve"> Kết luận </w:t>
      </w:r>
      <w:r w:rsidR="00F832DB" w:rsidRPr="00E47209">
        <w:rPr>
          <w:rFonts w:ascii="Times New Roman" w:eastAsia="Calibri" w:hAnsi="Times New Roman" w:cs="Times New Roman"/>
          <w:color w:val="000000" w:themeColor="text1"/>
          <w:kern w:val="0"/>
          <w:sz w:val="28"/>
          <w:szCs w:val="28"/>
          <w:lang w:val="pt-BR"/>
          <w14:ligatures w14:val="none"/>
        </w:rPr>
        <w:t xml:space="preserve">số 163-KL/TW </w:t>
      </w:r>
      <w:r w:rsidR="00324127" w:rsidRPr="00E47209">
        <w:rPr>
          <w:rFonts w:ascii="Times New Roman" w:eastAsia="Calibri" w:hAnsi="Times New Roman" w:cs="Times New Roman"/>
          <w:color w:val="000000" w:themeColor="text1"/>
          <w:kern w:val="0"/>
          <w:sz w:val="28"/>
          <w:szCs w:val="28"/>
          <w:lang w:val="pt-BR"/>
          <w14:ligatures w14:val="none"/>
        </w:rPr>
        <w:t>ngày 06/6/</w:t>
      </w:r>
      <w:r w:rsidR="00F832DB" w:rsidRPr="00E47209">
        <w:rPr>
          <w:rFonts w:ascii="Times New Roman" w:eastAsia="Calibri" w:hAnsi="Times New Roman" w:cs="Times New Roman"/>
          <w:color w:val="000000" w:themeColor="text1"/>
          <w:kern w:val="0"/>
          <w:sz w:val="28"/>
          <w:szCs w:val="28"/>
          <w:lang w:val="pt-BR"/>
          <w14:ligatures w14:val="none"/>
        </w:rPr>
        <w:t>2025 của Bộ Chính trị, Ban Bí thư, trong đó yêu cầu “</w:t>
      </w:r>
      <w:r w:rsidR="00F832DB" w:rsidRPr="00E47209">
        <w:rPr>
          <w:rFonts w:ascii="Times New Roman" w:eastAsia="Calibri" w:hAnsi="Times New Roman" w:cs="Times New Roman"/>
          <w:i/>
          <w:color w:val="000000" w:themeColor="text1"/>
          <w:kern w:val="0"/>
          <w:sz w:val="28"/>
          <w:szCs w:val="28"/>
          <w:lang w:val="pt-BR"/>
          <w14:ligatures w14:val="none"/>
        </w:rPr>
        <w:t xml:space="preserve">nghiên cứu lộ trình kéo dài việc sử dụng người không chuyên trách phù hợp với thời điểm sắp xếp lại thôn, </w:t>
      </w:r>
      <w:r w:rsidR="00F832DB" w:rsidRPr="00E47209">
        <w:rPr>
          <w:rFonts w:ascii="Times New Roman" w:eastAsia="Calibri" w:hAnsi="Times New Roman" w:cs="Times New Roman"/>
          <w:i/>
          <w:color w:val="000000" w:themeColor="text1"/>
          <w:kern w:val="0"/>
          <w:sz w:val="28"/>
          <w:szCs w:val="28"/>
          <w:lang w:val="vi-VN"/>
          <w14:ligatures w14:val="none"/>
        </w:rPr>
        <w:t>tổ dân phố</w:t>
      </w:r>
      <w:r w:rsidR="00F832DB" w:rsidRPr="00E47209">
        <w:rPr>
          <w:rFonts w:ascii="Times New Roman" w:eastAsia="Calibri" w:hAnsi="Times New Roman" w:cs="Times New Roman"/>
          <w:i/>
          <w:color w:val="000000" w:themeColor="text1"/>
          <w:kern w:val="0"/>
          <w:sz w:val="28"/>
          <w:szCs w:val="28"/>
          <w:lang w:val="pt-BR"/>
          <w14:ligatures w14:val="none"/>
        </w:rPr>
        <w:t xml:space="preserve"> (trước ngày 31/5/2026)”.</w:t>
      </w:r>
    </w:p>
    <w:p w14:paraId="37DE1588" w14:textId="31CB5D8B" w:rsidR="00F832DB" w:rsidRPr="00E47209" w:rsidRDefault="00CD0D05" w:rsidP="00571B99">
      <w:pPr>
        <w:widowControl w:val="0"/>
        <w:spacing w:after="120" w:line="240" w:lineRule="auto"/>
        <w:ind w:firstLine="709"/>
        <w:rPr>
          <w:rFonts w:ascii="Times New Roman" w:eastAsia="Calibri" w:hAnsi="Times New Roman" w:cs="Times New Roman"/>
          <w:color w:val="000000" w:themeColor="text1"/>
          <w:kern w:val="0"/>
          <w:sz w:val="28"/>
          <w:szCs w:val="28"/>
          <w:lang w:val="pt-BR"/>
          <w14:ligatures w14:val="none"/>
        </w:rPr>
      </w:pPr>
      <w:r w:rsidRPr="00E47209">
        <w:rPr>
          <w:rFonts w:ascii="Times New Roman" w:eastAsia="Calibri" w:hAnsi="Times New Roman" w:cs="Times New Roman"/>
          <w:color w:val="000000" w:themeColor="text1"/>
          <w:kern w:val="0"/>
          <w:sz w:val="28"/>
          <w:szCs w:val="28"/>
          <w:lang w:val="pt-BR"/>
          <w14:ligatures w14:val="none"/>
        </w:rPr>
        <w:t>-</w:t>
      </w:r>
      <w:r w:rsidR="00F832DB" w:rsidRPr="00E47209">
        <w:rPr>
          <w:rFonts w:ascii="Times New Roman" w:eastAsia="Calibri" w:hAnsi="Times New Roman" w:cs="Times New Roman"/>
          <w:color w:val="000000" w:themeColor="text1"/>
          <w:kern w:val="0"/>
          <w:sz w:val="28"/>
          <w:szCs w:val="28"/>
          <w:lang w:val="pt-BR"/>
          <w14:ligatures w14:val="none"/>
        </w:rPr>
        <w:t xml:space="preserve"> Kết luận số 210-KL/TW ngày 12/11/2025 của Ban Chấp hành Trung ương Đảng khóa XIII về tiếp tục xây dựng, hoàn thiện tổ chức bộ máy của hệ thống chính trị trong thời gian tới: </w:t>
      </w:r>
      <w:r w:rsidR="00F832DB" w:rsidRPr="00E47209">
        <w:rPr>
          <w:rFonts w:ascii="Times New Roman" w:eastAsia="Calibri" w:hAnsi="Times New Roman" w:cs="Times New Roman"/>
          <w:i/>
          <w:iCs/>
          <w:color w:val="000000" w:themeColor="text1"/>
          <w:kern w:val="0"/>
          <w:sz w:val="28"/>
          <w:szCs w:val="28"/>
          <w:lang w:val="pt-BR"/>
          <w14:ligatures w14:val="none"/>
        </w:rPr>
        <w:t xml:space="preserve">“Sắp xếp các thôn, </w:t>
      </w:r>
      <w:r w:rsidR="00F832DB" w:rsidRPr="00E47209">
        <w:rPr>
          <w:rFonts w:ascii="Times New Roman" w:eastAsia="Calibri" w:hAnsi="Times New Roman" w:cs="Times New Roman"/>
          <w:i/>
          <w:iCs/>
          <w:color w:val="000000" w:themeColor="text1"/>
          <w:kern w:val="0"/>
          <w:sz w:val="28"/>
          <w:szCs w:val="28"/>
          <w:lang w:val="vi-VN"/>
          <w14:ligatures w14:val="none"/>
        </w:rPr>
        <w:t>tổ dân phố</w:t>
      </w:r>
      <w:r w:rsidR="00F832DB" w:rsidRPr="00E47209">
        <w:rPr>
          <w:rFonts w:ascii="Times New Roman" w:eastAsia="Calibri" w:hAnsi="Times New Roman" w:cs="Times New Roman"/>
          <w:i/>
          <w:iCs/>
          <w:color w:val="000000" w:themeColor="text1"/>
          <w:kern w:val="0"/>
          <w:sz w:val="28"/>
          <w:szCs w:val="28"/>
          <w:lang w:val="pt-BR"/>
          <w14:ligatures w14:val="none"/>
        </w:rPr>
        <w:t xml:space="preserve"> ở xã, phường và người hoạt động không chuyên trách ở thôn, </w:t>
      </w:r>
      <w:r w:rsidR="00F832DB" w:rsidRPr="00E47209">
        <w:rPr>
          <w:rFonts w:ascii="Times New Roman" w:eastAsia="Calibri" w:hAnsi="Times New Roman" w:cs="Times New Roman"/>
          <w:i/>
          <w:iCs/>
          <w:color w:val="000000" w:themeColor="text1"/>
          <w:kern w:val="0"/>
          <w:sz w:val="28"/>
          <w:szCs w:val="28"/>
          <w:lang w:val="vi-VN"/>
          <w14:ligatures w14:val="none"/>
        </w:rPr>
        <w:t>tổ dân phố</w:t>
      </w:r>
      <w:r w:rsidR="00F832DB" w:rsidRPr="00E47209">
        <w:rPr>
          <w:rFonts w:ascii="Times New Roman" w:eastAsia="Calibri" w:hAnsi="Times New Roman" w:cs="Times New Roman"/>
          <w:i/>
          <w:iCs/>
          <w:color w:val="000000" w:themeColor="text1"/>
          <w:kern w:val="0"/>
          <w:sz w:val="28"/>
          <w:szCs w:val="28"/>
          <w:lang w:val="pt-BR"/>
          <w14:ligatures w14:val="none"/>
        </w:rPr>
        <w:t xml:space="preserve"> phù hợp với yêu cầu trong tình hình mới”.</w:t>
      </w:r>
      <w:r w:rsidR="00F832DB" w:rsidRPr="00E47209">
        <w:rPr>
          <w:rFonts w:ascii="Times New Roman" w:eastAsia="Calibri" w:hAnsi="Times New Roman" w:cs="Times New Roman"/>
          <w:color w:val="000000" w:themeColor="text1"/>
          <w:kern w:val="0"/>
          <w:sz w:val="28"/>
          <w:szCs w:val="28"/>
          <w:lang w:val="pt-BR"/>
          <w14:ligatures w14:val="none"/>
        </w:rPr>
        <w:t xml:space="preserve"> </w:t>
      </w:r>
    </w:p>
    <w:p w14:paraId="5DECCA90" w14:textId="110CA321" w:rsidR="00F832DB" w:rsidRPr="00E47209" w:rsidRDefault="00CD0D05" w:rsidP="00571B99">
      <w:pPr>
        <w:widowControl w:val="0"/>
        <w:spacing w:after="120" w:line="240" w:lineRule="auto"/>
        <w:ind w:firstLine="709"/>
        <w:rPr>
          <w:rFonts w:ascii="Times New Roman" w:eastAsia="Calibri" w:hAnsi="Times New Roman" w:cs="Times New Roman"/>
          <w:b/>
          <w:color w:val="000000" w:themeColor="text1"/>
          <w:spacing w:val="-2"/>
          <w:kern w:val="0"/>
          <w:sz w:val="28"/>
          <w:szCs w:val="28"/>
          <w14:ligatures w14:val="none"/>
        </w:rPr>
      </w:pPr>
      <w:r w:rsidRPr="00E47209">
        <w:rPr>
          <w:rFonts w:ascii="Times New Roman" w:eastAsia="Calibri" w:hAnsi="Times New Roman" w:cs="Times New Roman"/>
          <w:color w:val="000000" w:themeColor="text1"/>
          <w:kern w:val="0"/>
          <w:sz w:val="28"/>
          <w:szCs w:val="28"/>
          <w:lang w:val="pt-BR"/>
          <w14:ligatures w14:val="none"/>
        </w:rPr>
        <w:t>-</w:t>
      </w:r>
      <w:r w:rsidR="00F832DB" w:rsidRPr="00E47209">
        <w:rPr>
          <w:rFonts w:ascii="Times New Roman" w:eastAsia="Calibri" w:hAnsi="Times New Roman" w:cs="Times New Roman"/>
          <w:color w:val="000000" w:themeColor="text1"/>
          <w:kern w:val="0"/>
          <w:sz w:val="28"/>
          <w:szCs w:val="28"/>
          <w:lang w:val="pt-BR"/>
          <w14:ligatures w14:val="none"/>
        </w:rPr>
        <w:t xml:space="preserve"> </w:t>
      </w:r>
      <w:r w:rsidR="00F832DB" w:rsidRPr="00E47209">
        <w:rPr>
          <w:rFonts w:ascii="Times New Roman" w:eastAsia="Calibri" w:hAnsi="Times New Roman" w:cs="Times New Roman"/>
          <w:color w:val="000000" w:themeColor="text1"/>
          <w:kern w:val="0"/>
          <w:sz w:val="28"/>
          <w:szCs w:val="28"/>
          <w14:ligatures w14:val="none"/>
        </w:rPr>
        <w:t>Kết luận số 34-KL/TW ngày 18/5/2026 của Bộ Chính trị về sắp xếp thôn, tổ dân phố và bố trí, sử dụng, chế độ, chính sách đối với người hoạt động không chuyên trách ở cấp xã, ở thôn, tổ dân phố.</w:t>
      </w:r>
    </w:p>
    <w:p w14:paraId="6023CD14" w14:textId="27C086D4" w:rsidR="00F832DB" w:rsidRPr="00E47209" w:rsidRDefault="00CD5E84" w:rsidP="00571B99">
      <w:pPr>
        <w:widowControl w:val="0"/>
        <w:spacing w:after="120" w:line="240" w:lineRule="auto"/>
        <w:ind w:firstLine="709"/>
        <w:rPr>
          <w:rFonts w:ascii="Times New Roman" w:eastAsia="Calibri" w:hAnsi="Times New Roman" w:cs="Times New Roman"/>
          <w:b/>
          <w:i/>
          <w:iCs/>
          <w:color w:val="000000" w:themeColor="text1"/>
          <w:spacing w:val="-4"/>
          <w:kern w:val="0"/>
          <w:sz w:val="28"/>
          <w:szCs w:val="28"/>
          <w:lang w:val="pt-BR"/>
          <w14:ligatures w14:val="none"/>
        </w:rPr>
      </w:pPr>
      <w:r w:rsidRPr="00E47209">
        <w:rPr>
          <w:rFonts w:ascii="Times New Roman" w:eastAsia="Calibri" w:hAnsi="Times New Roman" w:cs="Times New Roman"/>
          <w:b/>
          <w:i/>
          <w:iCs/>
          <w:color w:val="000000" w:themeColor="text1"/>
          <w:spacing w:val="-2"/>
          <w:kern w:val="0"/>
          <w:sz w:val="28"/>
          <w:szCs w:val="28"/>
          <w:lang w:val="pt-BR"/>
          <w14:ligatures w14:val="none"/>
        </w:rPr>
        <w:t>1.</w:t>
      </w:r>
      <w:r w:rsidR="00F832DB" w:rsidRPr="00E47209">
        <w:rPr>
          <w:rFonts w:ascii="Times New Roman" w:eastAsia="Calibri" w:hAnsi="Times New Roman" w:cs="Times New Roman"/>
          <w:b/>
          <w:i/>
          <w:iCs/>
          <w:color w:val="000000" w:themeColor="text1"/>
          <w:spacing w:val="-2"/>
          <w:kern w:val="0"/>
          <w:sz w:val="28"/>
          <w:szCs w:val="28"/>
          <w:lang w:val="pt-BR"/>
          <w14:ligatures w14:val="none"/>
        </w:rPr>
        <w:t>2. Căn cứ pháp lý</w:t>
      </w:r>
    </w:p>
    <w:p w14:paraId="3327DC5A" w14:textId="6650AFFB" w:rsidR="00CD5E84" w:rsidRPr="00E47209" w:rsidRDefault="00CD0D05" w:rsidP="00571B99">
      <w:pPr>
        <w:widowControl w:val="0"/>
        <w:autoSpaceDE w:val="0"/>
        <w:autoSpaceDN w:val="0"/>
        <w:adjustRightInd w:val="0"/>
        <w:spacing w:after="120" w:line="240" w:lineRule="auto"/>
        <w:ind w:firstLine="709"/>
        <w:rPr>
          <w:rFonts w:ascii="Times New Roman" w:eastAsia="Calibri" w:hAnsi="Times New Roman" w:cs="Times New Roman"/>
          <w:i/>
          <w:iCs/>
          <w:color w:val="000000" w:themeColor="text1"/>
          <w:spacing w:val="-2"/>
          <w:kern w:val="0"/>
          <w:sz w:val="28"/>
          <w:szCs w:val="28"/>
          <w:lang w:val="pt-BR"/>
          <w14:ligatures w14:val="none"/>
        </w:rPr>
      </w:pPr>
      <w:r w:rsidRPr="00E47209">
        <w:rPr>
          <w:rFonts w:ascii="Times New Roman" w:eastAsia="Calibri" w:hAnsi="Times New Roman" w:cs="Times New Roman"/>
          <w:color w:val="000000" w:themeColor="text1"/>
          <w:spacing w:val="-2"/>
          <w:kern w:val="0"/>
          <w:sz w:val="28"/>
          <w:szCs w:val="28"/>
          <w:lang w:val="pt-BR"/>
          <w14:ligatures w14:val="none"/>
        </w:rPr>
        <w:t>-</w:t>
      </w:r>
      <w:r w:rsidR="00F832DB" w:rsidRPr="00E47209">
        <w:rPr>
          <w:rFonts w:ascii="Times New Roman" w:eastAsia="Calibri" w:hAnsi="Times New Roman" w:cs="Times New Roman"/>
          <w:color w:val="000000" w:themeColor="text1"/>
          <w:spacing w:val="-2"/>
          <w:kern w:val="0"/>
          <w:sz w:val="28"/>
          <w:szCs w:val="28"/>
          <w:lang w:val="pt-BR"/>
          <w14:ligatures w14:val="none"/>
        </w:rPr>
        <w:t xml:space="preserve"> </w:t>
      </w:r>
      <w:r w:rsidR="00CD5E84" w:rsidRPr="00E47209">
        <w:rPr>
          <w:rFonts w:ascii="Times New Roman" w:eastAsia="Calibri" w:hAnsi="Times New Roman" w:cs="Times New Roman"/>
          <w:color w:val="000000" w:themeColor="text1"/>
          <w:spacing w:val="-2"/>
          <w:kern w:val="0"/>
          <w:sz w:val="28"/>
          <w:szCs w:val="28"/>
          <w:lang w:val="pt-BR"/>
          <w14:ligatures w14:val="none"/>
        </w:rPr>
        <w:t xml:space="preserve">Điểm b khoản 2 Điều 15 </w:t>
      </w:r>
      <w:r w:rsidR="00F832DB" w:rsidRPr="00E47209">
        <w:rPr>
          <w:rFonts w:ascii="Times New Roman" w:eastAsia="Calibri" w:hAnsi="Times New Roman" w:cs="Times New Roman"/>
          <w:color w:val="000000" w:themeColor="text1"/>
          <w:spacing w:val="-2"/>
          <w:kern w:val="0"/>
          <w:sz w:val="28"/>
          <w:szCs w:val="28"/>
          <w:lang w:val="pt-BR"/>
          <w14:ligatures w14:val="none"/>
        </w:rPr>
        <w:t>Luật Tổ chức chính quyền địa phương số 72/2025/QH15 quy định</w:t>
      </w:r>
      <w:r w:rsidR="00CD5E84" w:rsidRPr="00E47209">
        <w:rPr>
          <w:rFonts w:ascii="Times New Roman" w:eastAsia="Calibri" w:hAnsi="Times New Roman" w:cs="Times New Roman"/>
          <w:color w:val="000000" w:themeColor="text1"/>
          <w:spacing w:val="-2"/>
          <w:kern w:val="0"/>
          <w:sz w:val="28"/>
          <w:szCs w:val="28"/>
          <w:lang w:val="pt-BR"/>
          <w14:ligatures w14:val="none"/>
        </w:rPr>
        <w:t xml:space="preserve"> nhiệm vụ, quyền hạn của Hội đồng nhân dân tỉnh: </w:t>
      </w:r>
      <w:r w:rsidR="00CD5E84" w:rsidRPr="00E47209">
        <w:rPr>
          <w:rFonts w:ascii="Times New Roman" w:eastAsia="Calibri" w:hAnsi="Times New Roman" w:cs="Times New Roman"/>
          <w:i/>
          <w:iCs/>
          <w:color w:val="000000" w:themeColor="text1"/>
          <w:spacing w:val="-2"/>
          <w:kern w:val="0"/>
          <w:sz w:val="28"/>
          <w:szCs w:val="28"/>
          <w:lang w:val="pt-BR"/>
          <w14:ligatures w14:val="none"/>
        </w:rPr>
        <w:t>“</w:t>
      </w:r>
      <w:r w:rsidR="00CD5E84" w:rsidRPr="00E47209">
        <w:rPr>
          <w:rFonts w:ascii="Times New Roman" w:eastAsia="Calibri" w:hAnsi="Times New Roman" w:cs="Times New Roman"/>
          <w:i/>
          <w:iCs/>
          <w:color w:val="000000" w:themeColor="text1"/>
          <w:spacing w:val="-2"/>
          <w:kern w:val="0"/>
          <w:sz w:val="28"/>
          <w:szCs w:val="28"/>
          <w14:ligatures w14:val="none"/>
        </w:rPr>
        <w:t>b) … quyết định mức phụ cấp và tổng số lượng người hoạt động không chuyên trách hưởng phụ cấp từ ngân sách nhà nước của địa phương; …”</w:t>
      </w:r>
    </w:p>
    <w:p w14:paraId="6C249C8C" w14:textId="31909FF8" w:rsidR="006E6CE7" w:rsidRPr="00E47209" w:rsidRDefault="00CD0D05" w:rsidP="00571B99">
      <w:pPr>
        <w:widowControl w:val="0"/>
        <w:autoSpaceDE w:val="0"/>
        <w:autoSpaceDN w:val="0"/>
        <w:adjustRightInd w:val="0"/>
        <w:spacing w:after="120" w:line="240" w:lineRule="auto"/>
        <w:ind w:firstLine="709"/>
        <w:rPr>
          <w:rFonts w:ascii="Times New Roman" w:eastAsia="Calibri" w:hAnsi="Times New Roman" w:cs="Times New Roman"/>
          <w:i/>
          <w:iCs/>
          <w:color w:val="000000" w:themeColor="text1"/>
          <w:kern w:val="0"/>
          <w:sz w:val="28"/>
          <w:szCs w:val="28"/>
          <w:lang w:val="pt-BR"/>
          <w14:ligatures w14:val="none"/>
        </w:rPr>
      </w:pPr>
      <w:r w:rsidRPr="00E47209">
        <w:rPr>
          <w:rFonts w:ascii="Times New Roman" w:eastAsia="Calibri" w:hAnsi="Times New Roman" w:cs="Times New Roman"/>
          <w:color w:val="000000" w:themeColor="text1"/>
          <w:kern w:val="0"/>
          <w:sz w:val="28"/>
          <w:szCs w:val="28"/>
          <w:lang w:val="pt-BR"/>
          <w14:ligatures w14:val="none"/>
        </w:rPr>
        <w:t>-</w:t>
      </w:r>
      <w:r w:rsidR="00F832DB" w:rsidRPr="00E47209">
        <w:rPr>
          <w:rFonts w:ascii="Times New Roman" w:eastAsia="Calibri" w:hAnsi="Times New Roman" w:cs="Times New Roman"/>
          <w:color w:val="000000" w:themeColor="text1"/>
          <w:kern w:val="0"/>
          <w:sz w:val="28"/>
          <w:szCs w:val="28"/>
          <w:lang w:val="pt-BR"/>
          <w14:ligatures w14:val="none"/>
        </w:rPr>
        <w:t xml:space="preserve"> </w:t>
      </w:r>
      <w:r w:rsidR="006E6CE7" w:rsidRPr="00E47209">
        <w:rPr>
          <w:rFonts w:ascii="Times New Roman" w:eastAsia="Calibri" w:hAnsi="Times New Roman" w:cs="Times New Roman"/>
          <w:color w:val="000000" w:themeColor="text1"/>
          <w:kern w:val="0"/>
          <w:sz w:val="28"/>
          <w:szCs w:val="28"/>
          <w:lang w:val="pt-BR"/>
          <w14:ligatures w14:val="none"/>
        </w:rPr>
        <w:t xml:space="preserve">Khoản 2 Điều 15 Nghị định số 185/2026/NĐ-CP ngày 26/5/2026 của Chính phủ quy định về tổ chức, hoạt động của thôn, tổ dân phố và chế độ, chính sách đối với người hoạt động không chuyên trách ở thôn, tổ dân phố quy định: </w:t>
      </w:r>
      <w:r w:rsidR="002678F6" w:rsidRPr="00E47209">
        <w:rPr>
          <w:rFonts w:ascii="Times New Roman" w:eastAsia="Calibri" w:hAnsi="Times New Roman" w:cs="Times New Roman"/>
          <w:i/>
          <w:iCs/>
          <w:color w:val="000000" w:themeColor="text1"/>
          <w:kern w:val="0"/>
          <w:sz w:val="28"/>
          <w:szCs w:val="28"/>
          <w:lang w:val="pt-BR"/>
          <w14:ligatures w14:val="none"/>
        </w:rPr>
        <w:t>“</w:t>
      </w:r>
      <w:r w:rsidR="006E6CE7" w:rsidRPr="00E47209">
        <w:rPr>
          <w:rFonts w:ascii="Times New Roman" w:eastAsia="Calibri" w:hAnsi="Times New Roman" w:cs="Times New Roman"/>
          <w:i/>
          <w:iCs/>
          <w:color w:val="000000" w:themeColor="text1"/>
          <w:kern w:val="0"/>
          <w:sz w:val="28"/>
          <w:szCs w:val="28"/>
          <w:lang w:val="pt-BR"/>
          <w14:ligatures w14:val="none"/>
        </w:rPr>
        <w:t xml:space="preserve">2. Căn cứ vào quỹ phụ cấp được ngân sách nhà nước khoán cho mỗi thôn, tổ dân phố quy định tại khoản 1 Điều này; khả năng cân đối của ngân sách địa </w:t>
      </w:r>
      <w:r w:rsidR="006E6CE7" w:rsidRPr="00E47209">
        <w:rPr>
          <w:rFonts w:ascii="Times New Roman" w:eastAsia="Calibri" w:hAnsi="Times New Roman" w:cs="Times New Roman"/>
          <w:i/>
          <w:iCs/>
          <w:color w:val="000000" w:themeColor="text1"/>
          <w:kern w:val="0"/>
          <w:sz w:val="28"/>
          <w:szCs w:val="28"/>
          <w:lang w:val="pt-BR"/>
          <w14:ligatures w14:val="none"/>
        </w:rPr>
        <w:lastRenderedPageBreak/>
        <w:t>phương; quy định của pháp luật có liên quan và đặc thù của các thôn, tổ dân phố trên địa bàn, Ủy ban nhân dân cấp tỉnh trình Hội đồng nhân dân cùng cấp quy định cụ thể những nội dung sau:</w:t>
      </w:r>
    </w:p>
    <w:p w14:paraId="53CDB6FE" w14:textId="77777777" w:rsidR="006E6CE7" w:rsidRPr="00E47209" w:rsidRDefault="006E6CE7" w:rsidP="00571B99">
      <w:pPr>
        <w:widowControl w:val="0"/>
        <w:autoSpaceDE w:val="0"/>
        <w:autoSpaceDN w:val="0"/>
        <w:adjustRightInd w:val="0"/>
        <w:spacing w:after="120" w:line="240" w:lineRule="auto"/>
        <w:ind w:firstLine="709"/>
        <w:rPr>
          <w:rFonts w:ascii="Times New Roman" w:eastAsia="Calibri" w:hAnsi="Times New Roman" w:cs="Times New Roman"/>
          <w:i/>
          <w:iCs/>
          <w:color w:val="000000" w:themeColor="text1"/>
          <w:kern w:val="0"/>
          <w:sz w:val="28"/>
          <w:szCs w:val="28"/>
          <w:lang w:val="pt-BR"/>
          <w14:ligatures w14:val="none"/>
        </w:rPr>
      </w:pPr>
      <w:r w:rsidRPr="00E47209">
        <w:rPr>
          <w:rFonts w:ascii="Times New Roman" w:eastAsia="Calibri" w:hAnsi="Times New Roman" w:cs="Times New Roman"/>
          <w:i/>
          <w:iCs/>
          <w:color w:val="000000" w:themeColor="text1"/>
          <w:kern w:val="0"/>
          <w:sz w:val="28"/>
          <w:szCs w:val="28"/>
          <w:lang w:val="pt-BR"/>
          <w14:ligatures w14:val="none"/>
        </w:rPr>
        <w:t>a) Mức phụ cấp của từng chức danh người hoạt động không chuyên trách ở thôn, tổ dân phố;</w:t>
      </w:r>
    </w:p>
    <w:p w14:paraId="01FFE8C5" w14:textId="77777777" w:rsidR="006E6CE7" w:rsidRPr="00E47209" w:rsidRDefault="006E6CE7" w:rsidP="00571B99">
      <w:pPr>
        <w:widowControl w:val="0"/>
        <w:autoSpaceDE w:val="0"/>
        <w:autoSpaceDN w:val="0"/>
        <w:adjustRightInd w:val="0"/>
        <w:spacing w:after="120" w:line="240" w:lineRule="auto"/>
        <w:ind w:firstLine="709"/>
        <w:rPr>
          <w:rFonts w:ascii="Times New Roman" w:eastAsia="Calibri" w:hAnsi="Times New Roman" w:cs="Times New Roman"/>
          <w:i/>
          <w:iCs/>
          <w:color w:val="000000" w:themeColor="text1"/>
          <w:kern w:val="0"/>
          <w:sz w:val="28"/>
          <w:szCs w:val="28"/>
          <w:lang w:val="pt-BR"/>
          <w14:ligatures w14:val="none"/>
        </w:rPr>
      </w:pPr>
      <w:r w:rsidRPr="00E47209">
        <w:rPr>
          <w:rFonts w:ascii="Times New Roman" w:eastAsia="Calibri" w:hAnsi="Times New Roman" w:cs="Times New Roman"/>
          <w:i/>
          <w:iCs/>
          <w:color w:val="000000" w:themeColor="text1"/>
          <w:kern w:val="0"/>
          <w:sz w:val="28"/>
          <w:szCs w:val="28"/>
          <w:lang w:val="pt-BR"/>
          <w14:ligatures w14:val="none"/>
        </w:rPr>
        <w:t>b) Việc kiêm nhiệm chức danh và mức phụ cấp kiêm nhiệm chức danh người hoạt động không chuyên trách, mức phụ cấp kiêm nhiệm chức danh tham gia hoạt động ở thôn, tổ dân phố;</w:t>
      </w:r>
    </w:p>
    <w:p w14:paraId="0E6AEC0D" w14:textId="71A746CC" w:rsidR="00F832DB" w:rsidRPr="00E47209" w:rsidRDefault="006E6CE7" w:rsidP="00571B99">
      <w:pPr>
        <w:widowControl w:val="0"/>
        <w:autoSpaceDE w:val="0"/>
        <w:autoSpaceDN w:val="0"/>
        <w:adjustRightInd w:val="0"/>
        <w:spacing w:after="120" w:line="240" w:lineRule="auto"/>
        <w:ind w:firstLine="709"/>
        <w:rPr>
          <w:rFonts w:ascii="Times New Roman" w:eastAsia="Calibri" w:hAnsi="Times New Roman" w:cs="Times New Roman"/>
          <w:i/>
          <w:iCs/>
          <w:color w:val="000000" w:themeColor="text1"/>
          <w:kern w:val="0"/>
          <w:sz w:val="28"/>
          <w:szCs w:val="28"/>
          <w:lang w:val="pt-BR"/>
          <w14:ligatures w14:val="none"/>
        </w:rPr>
      </w:pPr>
      <w:r w:rsidRPr="00E47209">
        <w:rPr>
          <w:rFonts w:ascii="Times New Roman" w:eastAsia="Calibri" w:hAnsi="Times New Roman" w:cs="Times New Roman"/>
          <w:i/>
          <w:iCs/>
          <w:color w:val="000000" w:themeColor="text1"/>
          <w:kern w:val="0"/>
          <w:sz w:val="28"/>
          <w:szCs w:val="28"/>
          <w:lang w:val="pt-BR"/>
          <w14:ligatures w14:val="none"/>
        </w:rPr>
        <w:t>c) Số lượng, chức danh và mức hỗ trợ đối với các chức danh tham gia hoạt động ở thôn, tổ dân phố.”</w:t>
      </w:r>
    </w:p>
    <w:p w14:paraId="5E748213" w14:textId="099E03FD" w:rsidR="00B75614" w:rsidRPr="00E47209" w:rsidRDefault="00CD0D05" w:rsidP="00571B99">
      <w:pPr>
        <w:widowControl w:val="0"/>
        <w:autoSpaceDE w:val="0"/>
        <w:autoSpaceDN w:val="0"/>
        <w:adjustRightInd w:val="0"/>
        <w:spacing w:after="120" w:line="240" w:lineRule="auto"/>
        <w:ind w:firstLine="709"/>
        <w:rPr>
          <w:rFonts w:ascii="TimesNewRomanPSMT" w:eastAsia="Calibri" w:hAnsi="TimesNewRomanPSMT" w:cs="Times New Roman"/>
          <w:color w:val="000000" w:themeColor="text1"/>
          <w:kern w:val="0"/>
          <w:sz w:val="28"/>
          <w:szCs w:val="28"/>
          <w:lang w:val="pt-BR"/>
          <w14:ligatures w14:val="none"/>
        </w:rPr>
      </w:pPr>
      <w:r w:rsidRPr="00E47209">
        <w:rPr>
          <w:rFonts w:ascii="Times New Roman" w:eastAsia="Calibri" w:hAnsi="Times New Roman" w:cs="Times New Roman"/>
          <w:color w:val="000000" w:themeColor="text1"/>
          <w:spacing w:val="-2"/>
          <w:kern w:val="0"/>
          <w:sz w:val="28"/>
          <w:szCs w:val="28"/>
          <w:lang w:val="pt-BR"/>
          <w14:ligatures w14:val="none"/>
        </w:rPr>
        <w:t>-</w:t>
      </w:r>
      <w:r w:rsidR="00B75614" w:rsidRPr="00E47209">
        <w:rPr>
          <w:rFonts w:ascii="Times New Roman" w:eastAsia="Calibri" w:hAnsi="Times New Roman" w:cs="Times New Roman"/>
          <w:color w:val="000000" w:themeColor="text1"/>
          <w:spacing w:val="-2"/>
          <w:kern w:val="0"/>
          <w:sz w:val="28"/>
          <w:szCs w:val="28"/>
          <w:lang w:val="pt-BR"/>
          <w14:ligatures w14:val="none"/>
        </w:rPr>
        <w:t xml:space="preserve">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6EE7169" w14:textId="49AFE165" w:rsidR="00F832DB" w:rsidRPr="00E47209" w:rsidRDefault="00D129D0" w:rsidP="00571B99">
      <w:pPr>
        <w:widowControl w:val="0"/>
        <w:autoSpaceDE w:val="0"/>
        <w:autoSpaceDN w:val="0"/>
        <w:adjustRightInd w:val="0"/>
        <w:spacing w:after="120" w:line="240" w:lineRule="auto"/>
        <w:ind w:firstLine="709"/>
        <w:rPr>
          <w:rFonts w:ascii="TimesNewRomanPSMT" w:eastAsia="Calibri" w:hAnsi="TimesNewRomanPSMT" w:cs="Times New Roman"/>
          <w:b/>
          <w:color w:val="000000" w:themeColor="text1"/>
          <w:kern w:val="0"/>
          <w:sz w:val="28"/>
          <w:szCs w:val="28"/>
          <w:lang w:val="pt-BR"/>
          <w14:ligatures w14:val="none"/>
        </w:rPr>
      </w:pPr>
      <w:r w:rsidRPr="00E47209">
        <w:rPr>
          <w:rFonts w:ascii="TimesNewRomanPSMT" w:eastAsia="Calibri" w:hAnsi="TimesNewRomanPSMT" w:cs="Times New Roman"/>
          <w:b/>
          <w:color w:val="000000" w:themeColor="text1"/>
          <w:kern w:val="0"/>
          <w:sz w:val="28"/>
          <w:szCs w:val="28"/>
          <w:lang w:val="pt-BR"/>
          <w14:ligatures w14:val="none"/>
        </w:rPr>
        <w:t>2</w:t>
      </w:r>
      <w:r w:rsidR="00F832DB" w:rsidRPr="00E47209">
        <w:rPr>
          <w:rFonts w:ascii="TimesNewRomanPSMT" w:eastAsia="Calibri" w:hAnsi="TimesNewRomanPSMT" w:cs="Times New Roman"/>
          <w:b/>
          <w:color w:val="000000" w:themeColor="text1"/>
          <w:kern w:val="0"/>
          <w:sz w:val="28"/>
          <w:szCs w:val="28"/>
          <w:lang w:val="pt-BR"/>
          <w14:ligatures w14:val="none"/>
        </w:rPr>
        <w:t>. Cơ sở thực tiễn</w:t>
      </w:r>
    </w:p>
    <w:p w14:paraId="121199F5" w14:textId="77777777" w:rsidR="008A07B7" w:rsidRPr="00E47209" w:rsidRDefault="008A07B7" w:rsidP="00571B99">
      <w:pPr>
        <w:widowControl w:val="0"/>
        <w:spacing w:after="12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Thực hiện Nghị định số 33/2023/NĐ-CP ngày 10/6/2023 của Chính phủ, trước thời điểm hợp nhất tỉnh, Hội đồng nhân dân tỉnh Tuyên Quang đã ban hành Nghị quyết số 26/2023/NQ-HĐND ngày 07/12/2023 và Nghị quyết số 25/2024/NQ-HĐND ngày 26/12/2024 quy định về người hoạt động không chuyên trách; người tham gia hoạt động ở thôn, tổ dân phố; khoán kinh phí hoạt động ở cấp xã, ở thôn, tổ dân phố trên địa bàn tỉnh Tuyên Quang. Hội đồng nhân dân tỉnh Hà Giang đã ban hành Nghị quyết số 28/2023/NQ-HĐND ngày 08/12/2023 quy định chức danh, việc kiêm nhiệm chức danh, mức phụ cấp của người hoạt động không chuyên trách ở cấp xã, ở thôn, tổ dân phố; mức khoán kinh phí hoạt động của các tổ chức chính trị - xã hội ở cấp xã; mức hỗ trợ hằng tháng đối với người trực tiếp tham gia hoạt động ở thôn, tổ dân phố và mức phụ cấp kiêm nhiệm đối với người trực tiếp tham gia hoạt động ở thôn, tổ dân phố trên địa bàn tỉnh Hà Giang. Các nghị quyết nêu trên đã tạo cơ sở pháp lý cho việc bố trí, quản lý, chi trả phụ cấp, hỗ trợ đối với người hoạt động không chuyên trách và người trực tiếp tham gia hoạt động ở cơ sở trong giai đoạn trước đây.</w:t>
      </w:r>
    </w:p>
    <w:p w14:paraId="554216D9" w14:textId="77777777" w:rsidR="006D38D3" w:rsidRPr="00E47209" w:rsidRDefault="008A07B7" w:rsidP="00571B99">
      <w:pPr>
        <w:widowControl w:val="0"/>
        <w:spacing w:after="12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Tuy nhiên, hiện nay căn cứ pháp lý, mô hình tổ chức chính quyền địa phương và yêu cầu quản lý ở cơ sở đã thay đổi. Theo Kết luận số 163-KL/TW ngày 06/6/2025 của Bộ Chính trị, Ban Bí thư và Chỉ thị số 21/CT-TTg ngày 20/5/2026 của Thủ tướng Chính phủ, việc bố trí, sử dụng người hoạt động không chuyên trách ở cấp xã kết thúc trước ngày 31/5/2026. Trên địa bàn tỉnh, có 1.155 người hoạt động không chuyên trách ở cấp xã đã và đang được rà soát, sắp xếp, giải quyết theo chủ trương của Trung ương; trong đó 67 người được tiếp nhận vào công chức, 21 người thực hiện hợp đồng, 55 người bố trí đảm nhiệm chức danh không chuyên trách ở thôn, tổ dân phố, 994 người đã có quyết định giải quyết chế độ, chính sách, 03 người tiếp tục tham gia các tổ chức hội ở cấp xã và 15 người có nguyện vọng tiếp tục tham gia công tác. Do đó, các nội dung liên quan đến người hoạt động không chuyên trách ở cấp xã không còn phù hợp để tiếp tục quy định trong nghị quyết của Hội đồng nhân dân tỉnh.</w:t>
      </w:r>
    </w:p>
    <w:p w14:paraId="565C9E09" w14:textId="624391ED"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spacing w:val="-2"/>
          <w:kern w:val="0"/>
          <w:sz w:val="28"/>
          <w:szCs w:val="28"/>
          <w:lang w:val="pt-BR"/>
          <w14:ligatures w14:val="none"/>
        </w:rPr>
      </w:pPr>
      <w:r w:rsidRPr="00E47209">
        <w:rPr>
          <w:rFonts w:ascii="Times New Roman" w:eastAsia="Calibri" w:hAnsi="Times New Roman" w:cs="Times New Roman"/>
          <w:bCs/>
          <w:color w:val="000000" w:themeColor="text1"/>
          <w:spacing w:val="-6"/>
          <w:kern w:val="0"/>
          <w:sz w:val="28"/>
          <w:szCs w:val="28"/>
          <w:lang w:val="pt-BR"/>
          <w14:ligatures w14:val="none"/>
        </w:rPr>
        <w:lastRenderedPageBreak/>
        <w:t>Mặt khác, ngày 26/5/2026, Chính phủ ban hành Nghị định số 185/2026/NĐ-CP</w:t>
      </w:r>
      <w:r w:rsidRPr="00E47209">
        <w:rPr>
          <w:rFonts w:ascii="Times New Roman" w:eastAsia="Calibri" w:hAnsi="Times New Roman" w:cs="Times New Roman"/>
          <w:bCs/>
          <w:color w:val="000000" w:themeColor="text1"/>
          <w:spacing w:val="-2"/>
          <w:kern w:val="0"/>
          <w:sz w:val="28"/>
          <w:szCs w:val="28"/>
          <w:lang w:val="pt-BR"/>
          <w14:ligatures w14:val="none"/>
        </w:rPr>
        <w:t xml:space="preserve"> quy định về tổ chức, hoạt động của thôn, tổ dân phố và chế độ, chính sách đối với người hoạt động không chuyên trách ở thôn, tổ dân phố. Nghị định này bãi bỏ các quy định liên quan đến người hoạt động không chuyên trách ở thôn, tổ dân phố tại Nghị định số 33/2023/NĐ-CP; đồng thời giao Hội đồng nhân dân cấp tỉnh quy định cụ thể mức phụ cấp của từng chức danh người hoạt động không chuyên trách ở thôn, tổ dân phố; việc kiêm nhiệm và mức phụ cấp kiêm nhiệm; số lượng, chức danh và mức hỗ trợ đối với các chức danh tham gia hoạt động ở thôn, tổ dân phố. Như vậy, căn cứ chính để ban hành các nghị quyết hiện hành đã thay đổi; phạm vi, đối tượng và nội dung điều chỉnh của chính sách cần được rà soát, ban hành mới để bảo đảm đúng thẩm quyền, thống nhất với quy định mới của Chính phủ.</w:t>
      </w:r>
    </w:p>
    <w:p w14:paraId="1C2C78B8" w14:textId="072C1F29"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spacing w:val="4"/>
          <w:kern w:val="0"/>
          <w:sz w:val="28"/>
          <w:szCs w:val="28"/>
          <w:lang w:val="pt-BR"/>
          <w14:ligatures w14:val="none"/>
        </w:rPr>
        <w:t>Về thực tiễn tổ chức thôn, tổ dân phố, sau khi hợp nhất tỉnh và sắp xếp đơn</w:t>
      </w:r>
      <w:r w:rsidRPr="00E47209">
        <w:rPr>
          <w:rFonts w:ascii="Times New Roman" w:eastAsia="Calibri" w:hAnsi="Times New Roman" w:cs="Times New Roman"/>
          <w:bCs/>
          <w:color w:val="000000" w:themeColor="text1"/>
          <w:kern w:val="0"/>
          <w:sz w:val="28"/>
          <w:szCs w:val="28"/>
          <w:lang w:val="pt-BR"/>
          <w14:ligatures w14:val="none"/>
        </w:rPr>
        <w:t xml:space="preserve"> vị hành chính cấp xã năm 2025, toàn bộ thôn, tổ dân phố trên địa bàn tỉnh </w:t>
      </w:r>
      <w:r w:rsidRPr="00E47209">
        <w:rPr>
          <w:rFonts w:ascii="Times New Roman" w:eastAsia="Calibri" w:hAnsi="Times New Roman" w:cs="Times New Roman"/>
          <w:bCs/>
          <w:color w:val="000000" w:themeColor="text1"/>
          <w:spacing w:val="4"/>
          <w:kern w:val="0"/>
          <w:sz w:val="28"/>
          <w:szCs w:val="28"/>
          <w:lang w:val="pt-BR"/>
          <w14:ligatures w14:val="none"/>
        </w:rPr>
        <w:t>Tuyên Quang cơ bản được giữ nguyên về số lượng, tổ chức và hoạt động. Toàn tỉnh hiện</w:t>
      </w:r>
      <w:r w:rsidRPr="00E47209">
        <w:rPr>
          <w:rFonts w:ascii="Times New Roman" w:eastAsia="Calibri" w:hAnsi="Times New Roman" w:cs="Times New Roman"/>
          <w:bCs/>
          <w:color w:val="000000" w:themeColor="text1"/>
          <w:kern w:val="0"/>
          <w:sz w:val="28"/>
          <w:szCs w:val="28"/>
          <w:lang w:val="pt-BR"/>
          <w14:ligatures w14:val="none"/>
        </w:rPr>
        <w:t xml:space="preserve"> có 3.802 thôn, tổ dân phố, gồm 3.639 thôn thuộc 117 xã và 363 tổ dân phố thuộc 07 phường. Trong đó, chỉ có 549 thôn, tổ dân phố đạt tiêu chuẩn, chiếm 14,44%; còn 3.253 thôn, tổ dân phố chưa đạt tiêu chuẩn, chiếm 85,56%. Thực trạng này cho thấy quy mô thôn, tổ dân phố trên địa bàn tỉnh còn nhỏ, phân tán, </w:t>
      </w:r>
      <w:r w:rsidRPr="00E47209">
        <w:rPr>
          <w:rFonts w:ascii="Times New Roman" w:eastAsia="Calibri" w:hAnsi="Times New Roman" w:cs="Times New Roman"/>
          <w:bCs/>
          <w:color w:val="000000" w:themeColor="text1"/>
          <w:spacing w:val="-4"/>
          <w:kern w:val="0"/>
          <w:sz w:val="28"/>
          <w:szCs w:val="28"/>
          <w:lang w:val="pt-BR"/>
          <w14:ligatures w14:val="none"/>
        </w:rPr>
        <w:t>chưa đồng đều; nhiều nơi có số hộ thấp, địa bàn rộng, giao thông khó khăn, dân cư</w:t>
      </w:r>
      <w:r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spacing w:val="-4"/>
          <w:kern w:val="0"/>
          <w:sz w:val="28"/>
          <w:szCs w:val="28"/>
          <w:lang w:val="pt-BR"/>
          <w14:ligatures w14:val="none"/>
        </w:rPr>
        <w:t>sống rải rác, nhất là tại các xã vùng cao, vùng sâu, vùng xa, biên giới, vùng đồng bào</w:t>
      </w:r>
      <w:r w:rsidRPr="00E47209">
        <w:rPr>
          <w:rFonts w:ascii="Times New Roman" w:eastAsia="Calibri" w:hAnsi="Times New Roman" w:cs="Times New Roman"/>
          <w:bCs/>
          <w:color w:val="000000" w:themeColor="text1"/>
          <w:kern w:val="0"/>
          <w:sz w:val="28"/>
          <w:szCs w:val="28"/>
          <w:lang w:val="pt-BR"/>
          <w14:ligatures w14:val="none"/>
        </w:rPr>
        <w:t xml:space="preserve"> dân tộc thiểu số.</w:t>
      </w:r>
    </w:p>
    <w:p w14:paraId="6DF16959" w14:textId="77777777"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Đặc thù của Tuyên Quang sau hợp nhất là tỉnh miền núi có địa bàn rộng, địa hình chia cắt, dân cư phân bố không đồng đều; có sự khác biệt khá lớn giữa khu vực đô thị, vùng thấp với khu vực vùng cao, biên giới. Ở một số xã, phường khu vực thuận lợi, quy mô dân cư tập trung hơn, điều kiện hạ tầng, giao thông, thông tin liên lạc cơ bản đáp ứng yêu cầu quản lý. Trong khi đó, nhiều thôn ở khu vực phía Bắc, phía Tây, vùng sâu, vùng xa có quy mô hộ gia đình thấp, khoảng cách từ thôn đến trung tâm xã xa, giao thông đi lại khó khăn, việc tổ chức sinh hoạt cộng đồng, huy động nguồn lực, triển khai nhiệm vụ phát triển kinh tế - xã hội, bảo đảm quốc phòng, an ninh, phòng chống thiên tai, dịch bệnh còn nhiều khó khăn. Một số tổ dân phố sau sắp xếp đơn vị hành chính được hình thành từ thôn thuộc xã trước đây nên chưa đạt tiêu chuẩn về quy mô của tổ dân phố; một số thôn hình thành do di dân, tái định cư hoặc do yếu tố lịch sử, phong tục, tập quán, điều kiện địa lý nên quy mô còn nhỏ, chưa thuận lợi cho việc tổ chức quản lý lâu dài.</w:t>
      </w:r>
    </w:p>
    <w:p w14:paraId="6938C286" w14:textId="77777777" w:rsidR="006D38D3"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Cùng với đó, sau khi thực hiện mô hình chính quyền địa phương 02 cấp, chính quyền cấp xã được giao nhiều nhiệm vụ hơn, phạm vi quản lý rộng hơn, trong khi số lượng thôn, tổ dân phố bình quân trên mỗi xã, phường tăng lên đáng kể, trung bình trên 30 thôn, tổ dân phố/đơn vị hành chính cấp xã. Điều này làm tăng áp lực quản lý, chỉ đạo, điều hành của cấp xã; đồng thời đặt ra yêu cầu cao hơn đối với đội ngũ ở thôn, tổ dân phố trong việc nắm tình hình Nhân dân, tuyên truyền, vận động, tổ chức thực hiện chủ trương của Đảng, chính sách, pháp luật của Nhà nước, hòa giải ở cơ sở, giữ gìn an ninh, trật tự, thực hiện dân chủ ở cơ sở, chuyển đổi số, dịch vụ công trực tuyến và xây dựng cộng đồng dân cư tự quản.</w:t>
      </w:r>
    </w:p>
    <w:p w14:paraId="1E11C7B9" w14:textId="5F8E17ED"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lastRenderedPageBreak/>
        <w:t>Trong thực tế, thôn, tổ dân phố không phải là cấp hành chính nhưng là “cánh tay nối dài” trực tiếp, thường xuyên của hệ thống chính trị ở cơ sở; là nơi chuyển tải chủ trương, chính sách đến từng hộ dân, từng cộng đồng dân cư và cũng là nơi phản ánh kịp thời tâm tư, nguyện vọng, khó khăn, vướng mắc của Nhân dân với cấp ủy, chính quyền cấp xã. Do đó, chất lượng hoạt động của thôn, tổ dân phố phụ thuộc rất lớn vào đội ngũ Bí thư chi bộ, Trưởng thôn, Tổ trưởng tổ dân phố, Trưởng ban công tác Mặt trận và những người tham gia hoạt động ở thôn, tổ dân phố. Tuy nhiên, mức phụ cấp, hỗ trợ theo các nghị quyết hiện hành còn thấp so với khối lượng công việc, phạm vi trách nhiệm và yêu cầu nhiệm vụ trong tình hình mới; chưa thật sự tạo động lực để thu hút người có uy tín, có năng lực vận động quần chúng, có trình độ, kỹ năng công nghệ thông tin và tinh thần trách nhiệm tham gia công tác ở cơ sở.</w:t>
      </w:r>
    </w:p>
    <w:p w14:paraId="2E739E1A" w14:textId="2D463704"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Bên cạnh yêu cầu sắp xếp, tổ chức lại thôn, tổ dân phố, tỉnh cũng phải đồng thời cơ cấu lại đội ngũ người hoạt động không chuyên trách và người tham gia hoạt động ở thôn, tổ dân phố. Theo </w:t>
      </w:r>
      <w:r w:rsidR="00600C32" w:rsidRPr="00E47209">
        <w:rPr>
          <w:rFonts w:ascii="Times New Roman" w:eastAsia="Calibri" w:hAnsi="Times New Roman" w:cs="Times New Roman"/>
          <w:bCs/>
          <w:color w:val="000000" w:themeColor="text1"/>
          <w:kern w:val="0"/>
          <w:sz w:val="28"/>
          <w:szCs w:val="28"/>
          <w:lang w:val="pt-BR"/>
          <w14:ligatures w14:val="none"/>
        </w:rPr>
        <w:t>kết quả rà soát</w:t>
      </w:r>
      <w:r w:rsidRPr="00E47209">
        <w:rPr>
          <w:rFonts w:ascii="Times New Roman" w:eastAsia="Calibri" w:hAnsi="Times New Roman" w:cs="Times New Roman"/>
          <w:bCs/>
          <w:color w:val="000000" w:themeColor="text1"/>
          <w:kern w:val="0"/>
          <w:sz w:val="28"/>
          <w:szCs w:val="28"/>
          <w:lang w:val="pt-BR"/>
          <w14:ligatures w14:val="none"/>
        </w:rPr>
        <w:t xml:space="preserve">, trước sắp xếp </w:t>
      </w:r>
      <w:r w:rsidRPr="00127A2D">
        <w:rPr>
          <w:rFonts w:ascii="Times New Roman" w:eastAsia="Calibri" w:hAnsi="Times New Roman" w:cs="Times New Roman"/>
          <w:bCs/>
          <w:color w:val="EE0000"/>
          <w:kern w:val="0"/>
          <w:sz w:val="28"/>
          <w:szCs w:val="28"/>
          <w:lang w:val="pt-BR"/>
          <w14:ligatures w14:val="none"/>
        </w:rPr>
        <w:t>có 9.</w:t>
      </w:r>
      <w:r w:rsidR="008B4F5A">
        <w:rPr>
          <w:rFonts w:ascii="Times New Roman" w:eastAsia="Calibri" w:hAnsi="Times New Roman" w:cs="Times New Roman"/>
          <w:bCs/>
          <w:color w:val="EE0000"/>
          <w:kern w:val="0"/>
          <w:sz w:val="28"/>
          <w:szCs w:val="28"/>
          <w:lang w:val="pt-BR"/>
          <w14:ligatures w14:val="none"/>
        </w:rPr>
        <w:t>177</w:t>
      </w:r>
      <w:r w:rsidRPr="00127A2D">
        <w:rPr>
          <w:rFonts w:ascii="Times New Roman" w:eastAsia="Calibri" w:hAnsi="Times New Roman" w:cs="Times New Roman"/>
          <w:bCs/>
          <w:color w:val="EE0000"/>
          <w:kern w:val="0"/>
          <w:sz w:val="28"/>
          <w:szCs w:val="28"/>
          <w:lang w:val="pt-BR"/>
          <w14:ligatures w14:val="none"/>
        </w:rPr>
        <w:t xml:space="preserve"> người hoạt động không chuyên trách ở thôn, tổ dân phố; sau sắp xếp dự kiến tiếp tục bố trí 5.</w:t>
      </w:r>
      <w:r w:rsidR="008B4F5A">
        <w:rPr>
          <w:rFonts w:ascii="Times New Roman" w:eastAsia="Calibri" w:hAnsi="Times New Roman" w:cs="Times New Roman"/>
          <w:bCs/>
          <w:color w:val="EE0000"/>
          <w:kern w:val="0"/>
          <w:sz w:val="28"/>
          <w:szCs w:val="28"/>
          <w:lang w:val="pt-BR"/>
          <w14:ligatures w14:val="none"/>
        </w:rPr>
        <w:t>297</w:t>
      </w:r>
      <w:r w:rsidRPr="00127A2D">
        <w:rPr>
          <w:rFonts w:ascii="Times New Roman" w:eastAsia="Calibri" w:hAnsi="Times New Roman" w:cs="Times New Roman"/>
          <w:bCs/>
          <w:color w:val="EE0000"/>
          <w:kern w:val="0"/>
          <w:sz w:val="28"/>
          <w:szCs w:val="28"/>
          <w:lang w:val="pt-BR"/>
          <w14:ligatures w14:val="none"/>
        </w:rPr>
        <w:t xml:space="preserve"> người, số dự kiến nghỉ là 3.</w:t>
      </w:r>
      <w:r w:rsidR="00D1627E">
        <w:rPr>
          <w:rFonts w:ascii="Times New Roman" w:eastAsia="Calibri" w:hAnsi="Times New Roman" w:cs="Times New Roman"/>
          <w:bCs/>
          <w:color w:val="EE0000"/>
          <w:kern w:val="0"/>
          <w:sz w:val="28"/>
          <w:szCs w:val="28"/>
          <w:lang w:val="pt-BR"/>
          <w14:ligatures w14:val="none"/>
        </w:rPr>
        <w:t>880</w:t>
      </w:r>
      <w:r w:rsidRPr="00127A2D">
        <w:rPr>
          <w:rFonts w:ascii="Times New Roman" w:eastAsia="Calibri" w:hAnsi="Times New Roman" w:cs="Times New Roman"/>
          <w:bCs/>
          <w:color w:val="EE0000"/>
          <w:kern w:val="0"/>
          <w:sz w:val="28"/>
          <w:szCs w:val="28"/>
          <w:lang w:val="pt-BR"/>
          <w14:ligatures w14:val="none"/>
        </w:rPr>
        <w:t xml:space="preserve"> người. Đối với người tham gia hoạt động khác ở thôn, tổ dân phố, trước sắp xếp có 25.</w:t>
      </w:r>
      <w:r w:rsidR="008B4F5A">
        <w:rPr>
          <w:rFonts w:ascii="Times New Roman" w:eastAsia="Calibri" w:hAnsi="Times New Roman" w:cs="Times New Roman"/>
          <w:bCs/>
          <w:color w:val="EE0000"/>
          <w:kern w:val="0"/>
          <w:sz w:val="28"/>
          <w:szCs w:val="28"/>
          <w:lang w:val="pt-BR"/>
          <w14:ligatures w14:val="none"/>
        </w:rPr>
        <w:t>644</w:t>
      </w:r>
      <w:r w:rsidRPr="00127A2D">
        <w:rPr>
          <w:rFonts w:ascii="Times New Roman" w:eastAsia="Calibri" w:hAnsi="Times New Roman" w:cs="Times New Roman"/>
          <w:bCs/>
          <w:color w:val="EE0000"/>
          <w:kern w:val="0"/>
          <w:sz w:val="28"/>
          <w:szCs w:val="28"/>
          <w:lang w:val="pt-BR"/>
          <w14:ligatures w14:val="none"/>
        </w:rPr>
        <w:t xml:space="preserve"> người, sau sắp xếp dự kiến tiếp tục bố trí 16.</w:t>
      </w:r>
      <w:r w:rsidR="008B4F5A">
        <w:rPr>
          <w:rFonts w:ascii="Times New Roman" w:eastAsia="Calibri" w:hAnsi="Times New Roman" w:cs="Times New Roman"/>
          <w:bCs/>
          <w:color w:val="EE0000"/>
          <w:kern w:val="0"/>
          <w:sz w:val="28"/>
          <w:szCs w:val="28"/>
          <w:lang w:val="pt-BR"/>
          <w14:ligatures w14:val="none"/>
        </w:rPr>
        <w:t>127</w:t>
      </w:r>
      <w:r w:rsidRPr="00127A2D">
        <w:rPr>
          <w:rFonts w:ascii="Times New Roman" w:eastAsia="Calibri" w:hAnsi="Times New Roman" w:cs="Times New Roman"/>
          <w:bCs/>
          <w:color w:val="EE0000"/>
          <w:kern w:val="0"/>
          <w:sz w:val="28"/>
          <w:szCs w:val="28"/>
          <w:lang w:val="pt-BR"/>
          <w14:ligatures w14:val="none"/>
        </w:rPr>
        <w:t xml:space="preserve"> người, số dự kiến nghỉ là 9.</w:t>
      </w:r>
      <w:r w:rsidR="00D1627E">
        <w:rPr>
          <w:rFonts w:ascii="Times New Roman" w:eastAsia="Calibri" w:hAnsi="Times New Roman" w:cs="Times New Roman"/>
          <w:bCs/>
          <w:color w:val="EE0000"/>
          <w:kern w:val="0"/>
          <w:sz w:val="28"/>
          <w:szCs w:val="28"/>
          <w:lang w:val="pt-BR"/>
          <w14:ligatures w14:val="none"/>
        </w:rPr>
        <w:t>517</w:t>
      </w:r>
      <w:r w:rsidRPr="00127A2D">
        <w:rPr>
          <w:rFonts w:ascii="Times New Roman" w:eastAsia="Calibri" w:hAnsi="Times New Roman" w:cs="Times New Roman"/>
          <w:bCs/>
          <w:color w:val="EE0000"/>
          <w:kern w:val="0"/>
          <w:sz w:val="28"/>
          <w:szCs w:val="28"/>
          <w:lang w:val="pt-BR"/>
          <w14:ligatures w14:val="none"/>
        </w:rPr>
        <w:t xml:space="preserve"> người. Việc ban hành </w:t>
      </w:r>
      <w:r w:rsidRPr="00E47209">
        <w:rPr>
          <w:rFonts w:ascii="Times New Roman" w:eastAsia="Calibri" w:hAnsi="Times New Roman" w:cs="Times New Roman"/>
          <w:bCs/>
          <w:color w:val="000000" w:themeColor="text1"/>
          <w:kern w:val="0"/>
          <w:sz w:val="28"/>
          <w:szCs w:val="28"/>
          <w:lang w:val="pt-BR"/>
          <w14:ligatures w14:val="none"/>
        </w:rPr>
        <w:t>nghị quyết mới vì vậy không chỉ nhằm quy định mức phụ cấp, hỗ trợ, khoán kinh phí, mà còn là cơ sở quan trọng để bố trí, sử dụng, khuyến khích, nâng cao chất lượng đội ngũ sau sắp xếp; đồng thời bảo đảm việc chi trả chế độ, chính sách được thực hiện thống nhất, công khai, minh bạch, đúng quy định.</w:t>
      </w:r>
    </w:p>
    <w:p w14:paraId="1E7946CB" w14:textId="77777777"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Sau khi hợp nhất tỉnh, trên địa bàn đang đồng thời tồn tại các chính sách được ban hành trước đây của tỉnh Tuyên Quang và tỉnh Hà Giang. Nếu không ban hành nghị quyết thay thế sẽ dẫn đến thiếu thống nhất trong áp dụng chính sách giữa các địa bàn; khó khăn trong bố trí, quản lý, chi trả phụ cấp, hỗ trợ, phụ cấp kiêm nhiệm và khoán kinh phí hoạt động ở thôn, tổ dân phố; đồng thời không còn phù hợp với căn cứ pháp lý mới, mô hình chính quyền địa phương 02 cấp và yêu cầu sắp xếp, tổ chức lại thôn, tổ dân phố trên địa bàn tỉnh.</w:t>
      </w:r>
    </w:p>
    <w:p w14:paraId="1305A179" w14:textId="7193A409" w:rsidR="008A07B7" w:rsidRPr="00E47209" w:rsidRDefault="008A07B7"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Từ những lý do nêu trên, việc Hội đồng nhân dân tỉnh ban hành Nghị quyết </w:t>
      </w:r>
      <w:r w:rsidR="00116AA6" w:rsidRPr="00E47209">
        <w:rPr>
          <w:rFonts w:ascii="Times New Roman" w:eastAsia="Calibri" w:hAnsi="Times New Roman" w:cs="Times New Roman"/>
          <w:bCs/>
          <w:color w:val="000000" w:themeColor="text1"/>
          <w:kern w:val="0"/>
          <w:sz w:val="28"/>
          <w:szCs w:val="28"/>
          <w:lang w:val="pt-BR"/>
          <w14:ligatures w14:val="none"/>
        </w:rPr>
        <w:t xml:space="preserve">quy định về người hoạt động không chuyên trách, người tham gia hoạt động và mức khoán kinh phí hoạt động ở thôn, tổ dân phố trên địa bàn tỉnh Tuyên Quang </w:t>
      </w:r>
      <w:r w:rsidRPr="00E47209">
        <w:rPr>
          <w:rFonts w:ascii="Times New Roman" w:eastAsia="Calibri" w:hAnsi="Times New Roman" w:cs="Times New Roman"/>
          <w:bCs/>
          <w:color w:val="000000" w:themeColor="text1"/>
          <w:kern w:val="0"/>
          <w:sz w:val="28"/>
          <w:szCs w:val="28"/>
          <w:lang w:val="pt-BR"/>
          <w14:ligatures w14:val="none"/>
        </w:rPr>
        <w:t>là cần thiết, đúng thẩm quyền, phù hợp với quy định của pháp luật hiện hành và đặc thù địa bàn miền núi, biên giới, vùng sâu, vùng xa của tỉnh; góp phần bảo đảm thống nhất chính sách sau hợp nhất tỉnh, nâng cao chất lượng hoạt động tự quản của cộng đồng dân cư, phát huy vai trò cầu nối của thôn, tổ dân phố trong mô hình chính quyền địa phương 02 cấp và đáp ứng yêu cầu quản lý, phục vụ Nhân dân trong tình hình mới.</w:t>
      </w:r>
    </w:p>
    <w:p w14:paraId="483AE519" w14:textId="5FCFEB1A" w:rsidR="002C331A" w:rsidRPr="00E47209" w:rsidRDefault="002A7331" w:rsidP="00A32423">
      <w:pPr>
        <w:widowControl w:val="0"/>
        <w:spacing w:line="240" w:lineRule="auto"/>
        <w:ind w:firstLine="709"/>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II. MỤC ĐÍCH BAN HÀNH, QUAN ĐIỂM XÂY DỰNG DỰ THẢO VĂN BẢN</w:t>
      </w:r>
    </w:p>
    <w:p w14:paraId="7186A661" w14:textId="4099C615" w:rsidR="002C331A" w:rsidRPr="00E47209" w:rsidRDefault="002A7331" w:rsidP="00A32423">
      <w:pPr>
        <w:widowControl w:val="0"/>
        <w:spacing w:line="240" w:lineRule="auto"/>
        <w:ind w:firstLine="709"/>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1. Mục đích ban hành văn bản</w:t>
      </w:r>
    </w:p>
    <w:p w14:paraId="547A883F" w14:textId="5094175A" w:rsidR="00962008" w:rsidRPr="00E47209" w:rsidRDefault="00962008" w:rsidP="00A32423">
      <w:pPr>
        <w:widowControl w:val="0"/>
        <w:spacing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spacing w:val="-4"/>
          <w:kern w:val="0"/>
          <w:sz w:val="28"/>
          <w:szCs w:val="28"/>
          <w:lang w:val="pt-BR"/>
          <w14:ligatures w14:val="none"/>
        </w:rPr>
        <w:t>- Cụ thể hóa thẩm quyền của Hội đồng nhân dân tỉnh được giao tại Nghị định</w:t>
      </w:r>
      <w:r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lastRenderedPageBreak/>
        <w:t>số 185/2026/NĐ-CP ngày 26/5/2026 của Chính phủ; quy định rõ mức phụ cấp đối với từng chức danh người hoạt động không chuyên trách ở thôn, tổ dân phố; việc kiêm nhiệm, mức phụ cấp kiêm nhiệm; số lượng, chức danh và mức hỗ trợ đối với người tham gia hoạt động ở thôn, tổ dân phố.</w:t>
      </w:r>
    </w:p>
    <w:p w14:paraId="7BC9C9BA" w14:textId="20B18FAF" w:rsidR="00962008" w:rsidRPr="00E47209" w:rsidRDefault="00962008"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Kịp thời thay thế các nghị quyết hiện hành không còn phù hợp, khắc phục sự khác nhau giữa chính sách của tỉnh Tuyên Quang và tỉnh Hà Giang trước hợp nhất; thiết lập chính sách thống nhất trên toàn tỉnh, làm cơ sở cho việc bố trí, quản lý, chi trả phụ cấp, hỗ trợ, phụ cấp kiêm nhiệm và khoán kinh phí hoạt động ở thôn, tổ dân phố.</w:t>
      </w:r>
    </w:p>
    <w:p w14:paraId="3316B79A" w14:textId="51D76F7D" w:rsidR="00962008" w:rsidRPr="00E47209" w:rsidRDefault="00962008"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Bảo đảm chính sách phù hợp với thực tiễn sau sắp xếp, tổ chức lại thôn, tổ dân phố, nhất là về quy mô dân số, diện tích địa bàn, khối lượng công việc và yêu cầu quản lý ở cơ sở; qua đó động viên, thu hút người có uy tín, trách nhiệm, năng lực, trình độ, kỹ năng tham gia hoạt động ở thôn, tổ dân phố, góp phần nâng cao hiệu quả tự quản của cộng đồng dân cư, chất lượng phục vụ Nhân dân và hiệu quả vận hành chính quyền địa phương 02 cấp.</w:t>
      </w:r>
    </w:p>
    <w:p w14:paraId="01B178D9" w14:textId="4DFCF513" w:rsidR="002A7331" w:rsidRPr="00E47209" w:rsidRDefault="002A7331" w:rsidP="00F32BA4">
      <w:pPr>
        <w:widowControl w:val="0"/>
        <w:spacing w:before="100" w:line="240" w:lineRule="auto"/>
        <w:ind w:firstLine="709"/>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2. Quan điểm xây dựng dự thảo văn bản</w:t>
      </w:r>
    </w:p>
    <w:p w14:paraId="00E0471B" w14:textId="0A68EBA5" w:rsidR="00B904A6" w:rsidRPr="00E47209" w:rsidRDefault="00B904A6"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Bảo đảm sự lãnh đạo của Đảng, thống nhất với chủ trương của Trung ương về sắp xếp thôn, tổ dân phố, kết thúc sử dụng người hoạt động không chuyên trách ở cấp xã và nâng cao chất lượng hoạt động ở cơ sở; phù hợp với Hiến pháp, Luật Tổ chức chính quyền địa phương, Luật Ban hành văn bản quy phạm pháp luật, Nghị định số 185/2026/NĐ-CP và các văn bản pháp luật có liên quan.</w:t>
      </w:r>
    </w:p>
    <w:p w14:paraId="37148E68" w14:textId="2A0B4AE1" w:rsidR="00B904A6" w:rsidRPr="00E47209" w:rsidRDefault="00B904A6"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Bảo đảm đúng thẩm quyền của Hội đồng nhân dân tỉnh, quy định những nội dung được Chính phủ giao; không quy định lại nội dung đã được cấp có thẩm quyền quy định rõ; bảo đảm tính hợp hiến, hợp pháp, thống nhất, khả thi, công khai, minh bạch và thuận lợi trong tổ chức thực hiện.</w:t>
      </w:r>
    </w:p>
    <w:p w14:paraId="2AA7FD15" w14:textId="6EC0183A" w:rsidR="00B904A6" w:rsidRPr="00E47209" w:rsidRDefault="00B904A6"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Kế thừa các quy định còn phù hợp, sửa đổi, thay thế các nội dung không còn phù hợp với căn cứ pháp lý mới, mô hình chính quyền địa phương 02 cấp, </w:t>
      </w:r>
      <w:r w:rsidRPr="00E47209">
        <w:rPr>
          <w:rFonts w:ascii="Times New Roman" w:eastAsia="Calibri" w:hAnsi="Times New Roman" w:cs="Times New Roman"/>
          <w:bCs/>
          <w:color w:val="000000" w:themeColor="text1"/>
          <w:spacing w:val="8"/>
          <w:kern w:val="0"/>
          <w:sz w:val="28"/>
          <w:szCs w:val="28"/>
          <w:lang w:val="pt-BR"/>
          <w14:ligatures w14:val="none"/>
        </w:rPr>
        <w:t>yêu cầu sắp xếp thôn, tổ dân phố và đặc thù địa bàn tỉnh Tuyên Quang sau hợp nhấ</w:t>
      </w:r>
      <w:r w:rsidRPr="00E47209">
        <w:rPr>
          <w:rFonts w:ascii="Times New Roman" w:eastAsia="Calibri" w:hAnsi="Times New Roman" w:cs="Times New Roman"/>
          <w:bCs/>
          <w:color w:val="000000" w:themeColor="text1"/>
          <w:kern w:val="0"/>
          <w:sz w:val="28"/>
          <w:szCs w:val="28"/>
          <w:lang w:val="pt-BR"/>
          <w14:ligatures w14:val="none"/>
        </w:rPr>
        <w:t>t.</w:t>
      </w:r>
    </w:p>
    <w:p w14:paraId="6AD69899" w14:textId="55067F6D" w:rsidR="00B904A6" w:rsidRPr="00E47209" w:rsidRDefault="00B904A6"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Xác định mức phụ cấp, hỗ trợ, phụ cấp kiêm nhiệm và khoán kinh phí hoạt động trên cơ sở quỹ phụ cấp được ngân sách nhà nước khoán, khả năng cân đối ngân sách địa phương, yêu cầu nhiệm vụ thực tế và đặc thù địa bàn miền núi, biên giới, vùng sâu, vùng xa; bảo đảm phù hợp nguồn lực, đồng thời tạo động lực nâng cao chất lượng, hiệu quả hoạt động của thôn, tổ dân phố.</w:t>
      </w:r>
    </w:p>
    <w:p w14:paraId="023E62AC" w14:textId="14D8DA9D" w:rsidR="00B904A6" w:rsidRPr="00E47209" w:rsidRDefault="00A577CE" w:rsidP="00F32BA4">
      <w:pPr>
        <w:widowControl w:val="0"/>
        <w:spacing w:before="100" w:line="240" w:lineRule="auto"/>
        <w:ind w:firstLine="709"/>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III. QUÁ TRÌNH XÂY DỰNG DỰ THẢO VĂN BẢN</w:t>
      </w:r>
    </w:p>
    <w:p w14:paraId="045A5183" w14:textId="77777777" w:rsidR="002A5BF3" w:rsidRPr="00E47209" w:rsidRDefault="00C41EC5" w:rsidP="00F32BA4">
      <w:pPr>
        <w:widowControl w:val="0"/>
        <w:spacing w:before="10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1. Thực hiện quy định của Luật Ban hành văn bản quy phạm pháp luật, Nghị định số 78/2025/NĐ-CP của Chính phủ, Văn bản số 361/HĐND-VP ngày 26/5/2026 của Thường trực Hội đồng nhân dân tỉnh và các văn bản có liên quan, Ủy ban nhân dân tỉnh đã chỉ đạo</w:t>
      </w:r>
      <w:r w:rsidRPr="00E47209">
        <w:rPr>
          <w:rStyle w:val="FootnoteReference"/>
          <w:rFonts w:ascii="Times New Roman" w:eastAsia="Calibri" w:hAnsi="Times New Roman" w:cs="Times New Roman"/>
          <w:bCs/>
          <w:color w:val="000000" w:themeColor="text1"/>
          <w:kern w:val="0"/>
          <w:sz w:val="28"/>
          <w:szCs w:val="28"/>
          <w:lang w:val="pt-BR"/>
          <w14:ligatures w14:val="none"/>
        </w:rPr>
        <w:footnoteReference w:id="1"/>
      </w:r>
      <w:r w:rsidRPr="00E47209">
        <w:rPr>
          <w:rFonts w:ascii="Times New Roman" w:eastAsia="Calibri" w:hAnsi="Times New Roman" w:cs="Times New Roman"/>
          <w:bCs/>
          <w:color w:val="000000" w:themeColor="text1"/>
          <w:kern w:val="0"/>
          <w:sz w:val="28"/>
          <w:szCs w:val="28"/>
          <w:lang w:val="pt-BR"/>
          <w14:ligatures w14:val="none"/>
        </w:rPr>
        <w:t xml:space="preserve"> </w:t>
      </w:r>
      <w:r w:rsidR="002A5BF3" w:rsidRPr="00E47209">
        <w:rPr>
          <w:rFonts w:ascii="Times New Roman" w:eastAsia="Calibri" w:hAnsi="Times New Roman" w:cs="Times New Roman"/>
          <w:bCs/>
          <w:color w:val="000000" w:themeColor="text1"/>
          <w:kern w:val="0"/>
          <w:sz w:val="28"/>
          <w:szCs w:val="28"/>
          <w:lang w:val="pt-BR"/>
          <w14:ligatures w14:val="none"/>
        </w:rPr>
        <w:t>Sở Nội vụ</w:t>
      </w:r>
      <w:r w:rsidRPr="00E47209">
        <w:rPr>
          <w:rFonts w:ascii="Times New Roman" w:eastAsia="Calibri" w:hAnsi="Times New Roman" w:cs="Times New Roman"/>
          <w:bCs/>
          <w:color w:val="000000" w:themeColor="text1"/>
          <w:kern w:val="0"/>
          <w:sz w:val="28"/>
          <w:szCs w:val="28"/>
          <w:lang w:val="pt-BR"/>
          <w14:ligatures w14:val="none"/>
        </w:rPr>
        <w:t xml:space="preserve"> </w:t>
      </w:r>
      <w:r w:rsidR="002A5BF3" w:rsidRPr="00E47209">
        <w:rPr>
          <w:rFonts w:ascii="Times New Roman" w:eastAsia="Calibri" w:hAnsi="Times New Roman" w:cs="Times New Roman"/>
          <w:bCs/>
          <w:color w:val="000000" w:themeColor="text1"/>
          <w:kern w:val="0"/>
          <w:sz w:val="28"/>
          <w:szCs w:val="28"/>
          <w:lang w:val="pt-BR"/>
          <w14:ligatures w14:val="none"/>
        </w:rPr>
        <w:t>chủ trì soạn thảo, xây dựng hồ sơ dự thảo Nghị quyết theo trình tự ban hành văn bản quy phạm pháp luật.</w:t>
      </w:r>
    </w:p>
    <w:p w14:paraId="6455538C" w14:textId="66F91E5F" w:rsidR="0030638B" w:rsidRPr="00E47209" w:rsidRDefault="00C41EC5" w:rsidP="00A32423">
      <w:pPr>
        <w:widowControl w:val="0"/>
        <w:spacing w:before="80" w:line="240" w:lineRule="auto"/>
        <w:ind w:firstLine="709"/>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lastRenderedPageBreak/>
        <w:t xml:space="preserve">2. </w:t>
      </w:r>
      <w:r w:rsidR="008E73F2" w:rsidRPr="00E47209">
        <w:rPr>
          <w:rFonts w:ascii="Times New Roman" w:hAnsi="Times New Roman"/>
          <w:color w:val="000000" w:themeColor="text1"/>
          <w:sz w:val="28"/>
          <w:szCs w:val="28"/>
          <w:lang w:val="sv-SE"/>
        </w:rPr>
        <w:t xml:space="preserve">Ủy ban nhân dân tỉnh đã tổ chức phiên họp tháng 6 năm 2026, ngày .../6/2026, để xem xét, cho ý kiến đối với dự thảo Nghị quyết quy định mức phụ cấp đối với người hoạt động không chuyên trách; mức hỗ trợ, phụ cấp kiêm nhiệm và khoán kinh phí hoạt động ở thôn, tổ dân phố trên địa bàn tỉnh Tuyên Quang. Sau phiên họp, Ủy ban nhân dân tỉnh chỉ đạo </w:t>
      </w:r>
      <w:r w:rsidR="00CB7DFC" w:rsidRPr="00E47209">
        <w:rPr>
          <w:rFonts w:ascii="Times New Roman" w:hAnsi="Times New Roman"/>
          <w:color w:val="000000" w:themeColor="text1"/>
          <w:sz w:val="28"/>
          <w:szCs w:val="28"/>
          <w:lang w:val="sv-SE"/>
        </w:rPr>
        <w:t>Sở Nội vụ</w:t>
      </w:r>
      <w:r w:rsidR="008E73F2" w:rsidRPr="00E47209">
        <w:rPr>
          <w:rFonts w:ascii="Times New Roman" w:hAnsi="Times New Roman"/>
          <w:color w:val="000000" w:themeColor="text1"/>
          <w:sz w:val="28"/>
          <w:szCs w:val="28"/>
          <w:lang w:val="sv-SE"/>
        </w:rPr>
        <w:t xml:space="preserve"> tiếp thu, hoàn thiện dự thảo; đồng thời tiếp thu ý kiến tại cuộc họp Thường trực Tỉnh ủy, Ban Thường vụ Tỉnh ủy để bảo đảm nội dung dự thảo phù hợp với chủ trương chỉ đạo của tỉnh, đúng quy định pháp luật và sát với yêu cầu thực tiễn</w:t>
      </w:r>
      <w:r w:rsidR="00AE3A6A" w:rsidRPr="00E47209">
        <w:rPr>
          <w:rFonts w:ascii="Times New Roman" w:hAnsi="Times New Roman"/>
          <w:color w:val="000000" w:themeColor="text1"/>
          <w:sz w:val="28"/>
          <w:szCs w:val="28"/>
          <w:lang w:val="sv-SE"/>
        </w:rPr>
        <w:t>.</w:t>
      </w:r>
    </w:p>
    <w:p w14:paraId="145D3BDC" w14:textId="6E362EC8" w:rsidR="00CB62BB" w:rsidRPr="00E47209" w:rsidRDefault="00CB62BB" w:rsidP="00A32423">
      <w:pPr>
        <w:widowControl w:val="0"/>
        <w:spacing w:before="80" w:line="240" w:lineRule="auto"/>
        <w:ind w:firstLine="709"/>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IV. BỐ CỤC VÀ NỘI DUNG CƠ BẢN CỦA DỰ THẢO VĂN BẢN</w:t>
      </w:r>
    </w:p>
    <w:p w14:paraId="34E3620D" w14:textId="3C34BA3C" w:rsidR="00CB62BB" w:rsidRPr="00E47209" w:rsidRDefault="00CB62BB" w:rsidP="00A32423">
      <w:pPr>
        <w:widowControl w:val="0"/>
        <w:spacing w:before="80" w:line="240" w:lineRule="auto"/>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1. Phạm vi điều chỉnh, đối tượng áp dụng</w:t>
      </w:r>
    </w:p>
    <w:p w14:paraId="4F90763A" w14:textId="7CEB6306" w:rsidR="00CB62BB" w:rsidRPr="00E47209" w:rsidRDefault="007B359B" w:rsidP="00A32423">
      <w:pPr>
        <w:widowControl w:val="0"/>
        <w:spacing w:before="8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t>1.1. Phạm vi điều chỉnh</w:t>
      </w:r>
    </w:p>
    <w:p w14:paraId="36AFE751" w14:textId="264E93BD" w:rsidR="007B359B" w:rsidRPr="00E47209" w:rsidRDefault="00CE73A2"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Nghị quyết này quy định mức phụ cấp người hoạt động không chuyên trách; số lượng, chức danh, mức hỗ trợ đối với người tham gia hoạt động ở thôn, tổ dân phố; việc kiêm nhiệm và mức phụ cấp, mức hỗ trợ kiêm nhiệm; mức khoán kinh phí hoạt động ở thôn, tổ dân phố trên địa bàn tỉnh Tuyên Quang</w:t>
      </w:r>
      <w:r w:rsidR="000B01F7" w:rsidRPr="00E47209">
        <w:rPr>
          <w:rFonts w:ascii="Times New Roman" w:eastAsia="Calibri" w:hAnsi="Times New Roman" w:cs="Times New Roman"/>
          <w:bCs/>
          <w:color w:val="000000" w:themeColor="text1"/>
          <w:kern w:val="0"/>
          <w:sz w:val="28"/>
          <w:szCs w:val="28"/>
          <w:lang w:val="pt-BR"/>
          <w14:ligatures w14:val="none"/>
        </w:rPr>
        <w:t>.</w:t>
      </w:r>
    </w:p>
    <w:p w14:paraId="50B93ADB" w14:textId="46171CD9" w:rsidR="007B359B" w:rsidRPr="00E47209" w:rsidRDefault="007B359B" w:rsidP="00A32423">
      <w:pPr>
        <w:widowControl w:val="0"/>
        <w:spacing w:before="8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t>1.2. Đối tượng áp dụng</w:t>
      </w:r>
    </w:p>
    <w:p w14:paraId="77F0A077" w14:textId="0399A08F" w:rsidR="000B01F7" w:rsidRPr="00E47209" w:rsidRDefault="00B57759"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0B01F7" w:rsidRPr="00E47209">
        <w:rPr>
          <w:rFonts w:ascii="Times New Roman" w:eastAsia="Calibri" w:hAnsi="Times New Roman" w:cs="Times New Roman"/>
          <w:bCs/>
          <w:color w:val="000000" w:themeColor="text1"/>
          <w:kern w:val="0"/>
          <w:sz w:val="28"/>
          <w:szCs w:val="28"/>
          <w:lang w:val="pt-BR"/>
          <w14:ligatures w14:val="none"/>
        </w:rPr>
        <w:t xml:space="preserve"> Người hoạt động không chuyên trách ở thôn, tổ dân phố, gồm: (1) Bí thư chi bộ thôn, tổ dân phố; (2) Trưởng thôn hoặc Tổ trưởng tổ dân phố; (3) Trưởng Ban công tác Mặt trận ở thôn, tổ dân phố.</w:t>
      </w:r>
    </w:p>
    <w:p w14:paraId="6548DEF4" w14:textId="379023D8" w:rsidR="000B01F7" w:rsidRPr="00E47209" w:rsidRDefault="00B57759"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0B01F7" w:rsidRPr="00E47209">
        <w:rPr>
          <w:rFonts w:ascii="Times New Roman" w:eastAsia="Calibri" w:hAnsi="Times New Roman" w:cs="Times New Roman"/>
          <w:bCs/>
          <w:color w:val="000000" w:themeColor="text1"/>
          <w:kern w:val="0"/>
          <w:sz w:val="28"/>
          <w:szCs w:val="28"/>
          <w:lang w:val="pt-BR"/>
          <w14:ligatures w14:val="none"/>
        </w:rPr>
        <w:t xml:space="preserve"> Các chức danh tham gia hoạt động ở thôn, tổ dân phố: Phó Trưởng thôn </w:t>
      </w:r>
      <w:r w:rsidR="000B01F7" w:rsidRPr="00E47209">
        <w:rPr>
          <w:rFonts w:ascii="Times New Roman" w:eastAsia="Calibri" w:hAnsi="Times New Roman" w:cs="Times New Roman"/>
          <w:bCs/>
          <w:color w:val="000000" w:themeColor="text1"/>
          <w:spacing w:val="4"/>
          <w:kern w:val="0"/>
          <w:sz w:val="28"/>
          <w:szCs w:val="28"/>
          <w:lang w:val="pt-BR"/>
          <w14:ligatures w14:val="none"/>
        </w:rPr>
        <w:t>hoặc Phó Tổ trưởng tổ dân phố; Nhân viên khuyến nông, khuyến lâm, thú y, môi trường</w:t>
      </w:r>
      <w:r w:rsidR="000B01F7" w:rsidRPr="00E47209">
        <w:rPr>
          <w:rFonts w:ascii="Times New Roman" w:eastAsia="Calibri" w:hAnsi="Times New Roman" w:cs="Times New Roman"/>
          <w:bCs/>
          <w:color w:val="000000" w:themeColor="text1"/>
          <w:kern w:val="0"/>
          <w:sz w:val="28"/>
          <w:szCs w:val="28"/>
          <w:lang w:val="pt-BR"/>
          <w14:ligatures w14:val="none"/>
        </w:rPr>
        <w:t xml:space="preserve"> (bố trí ở thôn); Chi hội trưởng Chi hội Cựu chiến binh; Chi hội trưởng Chi hội Phụ nữ; Chi hội trưởng Chi hội Người cao tuổi; Chi hội trưởng Chi hội Nông dân; Bí thư chi đoàn thanh niên Cộng sản Hồ Chí Minh.</w:t>
      </w:r>
    </w:p>
    <w:p w14:paraId="1DC07F96" w14:textId="6FCC3A28" w:rsidR="007B359B" w:rsidRPr="00E47209" w:rsidRDefault="00B57759"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403429" w:rsidRPr="00E47209">
        <w:rPr>
          <w:rFonts w:ascii="Times New Roman" w:eastAsia="Calibri" w:hAnsi="Times New Roman" w:cs="Times New Roman"/>
          <w:bCs/>
          <w:color w:val="000000" w:themeColor="text1"/>
          <w:kern w:val="0"/>
          <w:sz w:val="28"/>
          <w:szCs w:val="28"/>
          <w:lang w:val="pt-BR"/>
          <w14:ligatures w14:val="none"/>
        </w:rPr>
        <w:t xml:space="preserve"> </w:t>
      </w:r>
      <w:r w:rsidR="000B01F7" w:rsidRPr="00E47209">
        <w:rPr>
          <w:rFonts w:ascii="Times New Roman" w:eastAsia="Calibri" w:hAnsi="Times New Roman" w:cs="Times New Roman"/>
          <w:bCs/>
          <w:color w:val="000000" w:themeColor="text1"/>
          <w:kern w:val="0"/>
          <w:sz w:val="28"/>
          <w:szCs w:val="28"/>
          <w:lang w:val="pt-BR"/>
          <w14:ligatures w14:val="none"/>
        </w:rPr>
        <w:t xml:space="preserve">Cơ quan, tổ chức, cá nhân có liên quan đến việc quản lý, bố trí, sử dụng, chi trả phụ cấp, hỗ trợ đối với </w:t>
      </w:r>
      <w:r w:rsidR="00403429" w:rsidRPr="00E47209">
        <w:rPr>
          <w:rFonts w:ascii="Times New Roman" w:eastAsia="Calibri" w:hAnsi="Times New Roman" w:cs="Times New Roman"/>
          <w:bCs/>
          <w:color w:val="000000" w:themeColor="text1"/>
          <w:kern w:val="0"/>
          <w:sz w:val="28"/>
          <w:szCs w:val="28"/>
          <w:lang w:val="pt-BR"/>
          <w14:ligatures w14:val="none"/>
        </w:rPr>
        <w:t>người hoạt động không chuyên trách và người tham gia hoạt động ở thôn, tổ dân phố.</w:t>
      </w:r>
    </w:p>
    <w:p w14:paraId="05FB6E63" w14:textId="04EFBDCB" w:rsidR="004458A2" w:rsidRPr="00E47209" w:rsidRDefault="008111B1" w:rsidP="00A32423">
      <w:pPr>
        <w:widowControl w:val="0"/>
        <w:spacing w:before="80" w:line="240" w:lineRule="auto"/>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2. Bố cục dự thảo văn bản</w:t>
      </w:r>
    </w:p>
    <w:p w14:paraId="289DEC92" w14:textId="77777777"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Dự thảo Nghị quyết gồm 09 điều, cụ thể như sau:</w:t>
      </w:r>
    </w:p>
    <w:p w14:paraId="2B2C87C2" w14:textId="7ACAB26B"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Điều 1. Phạm vi điều chỉnh.</w:t>
      </w:r>
    </w:p>
    <w:p w14:paraId="6660F930" w14:textId="222B1E83"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Điều 2. Đối tượng áp dụng.</w:t>
      </w:r>
    </w:p>
    <w:p w14:paraId="31448CDE" w14:textId="465359E6"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E346BE" w:rsidRPr="00E47209">
        <w:rPr>
          <w:rFonts w:ascii="Times New Roman" w:eastAsia="Calibri" w:hAnsi="Times New Roman" w:cs="Times New Roman"/>
          <w:bCs/>
          <w:color w:val="000000" w:themeColor="text1"/>
          <w:kern w:val="0"/>
          <w:sz w:val="28"/>
          <w:szCs w:val="28"/>
          <w:lang w:val="pt-BR"/>
          <w14:ligatures w14:val="none"/>
        </w:rPr>
        <w:t>Điều 3. Mức phụ cấp hằng tháng đối với người hoạt động không chuyên trách ở thôn, tổ dân phố</w:t>
      </w:r>
      <w:r w:rsidRPr="00E47209">
        <w:rPr>
          <w:rFonts w:ascii="Times New Roman" w:eastAsia="Calibri" w:hAnsi="Times New Roman" w:cs="Times New Roman"/>
          <w:bCs/>
          <w:color w:val="000000" w:themeColor="text1"/>
          <w:kern w:val="0"/>
          <w:sz w:val="28"/>
          <w:szCs w:val="28"/>
          <w:lang w:val="pt-BR"/>
          <w14:ligatures w14:val="none"/>
        </w:rPr>
        <w:t>.</w:t>
      </w:r>
    </w:p>
    <w:p w14:paraId="0D802D41" w14:textId="15BBC003"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E346BE" w:rsidRPr="00E47209">
        <w:rPr>
          <w:rFonts w:ascii="Times New Roman" w:eastAsia="Calibri" w:hAnsi="Times New Roman" w:cs="Times New Roman"/>
          <w:bCs/>
          <w:color w:val="000000" w:themeColor="text1"/>
          <w:kern w:val="0"/>
          <w:sz w:val="28"/>
          <w:szCs w:val="28"/>
          <w:lang w:val="pt-BR"/>
          <w14:ligatures w14:val="none"/>
        </w:rPr>
        <w:t>Điều 4. Số lượng, chức danh và mức hỗ trợ hằng tháng đối với người tham gia hoạt động ở thôn, tổ dân phố</w:t>
      </w:r>
      <w:r w:rsidRPr="00E47209">
        <w:rPr>
          <w:rFonts w:ascii="Times New Roman" w:eastAsia="Calibri" w:hAnsi="Times New Roman" w:cs="Times New Roman"/>
          <w:bCs/>
          <w:color w:val="000000" w:themeColor="text1"/>
          <w:kern w:val="0"/>
          <w:sz w:val="28"/>
          <w:szCs w:val="28"/>
          <w:lang w:val="pt-BR"/>
          <w14:ligatures w14:val="none"/>
        </w:rPr>
        <w:t>.</w:t>
      </w:r>
    </w:p>
    <w:p w14:paraId="2C35AF27" w14:textId="375EC528" w:rsidR="00B25A1E" w:rsidRPr="00E47209" w:rsidRDefault="00B25A1E"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E346BE" w:rsidRPr="00E47209">
        <w:rPr>
          <w:rFonts w:ascii="Times New Roman" w:eastAsia="Calibri" w:hAnsi="Times New Roman" w:cs="Times New Roman"/>
          <w:bCs/>
          <w:color w:val="000000" w:themeColor="text1"/>
          <w:kern w:val="0"/>
          <w:sz w:val="28"/>
          <w:szCs w:val="28"/>
          <w:lang w:val="pt-BR"/>
          <w14:ligatures w14:val="none"/>
        </w:rPr>
        <w:t>Điều 5. Kiêm nhiệm chức danh và mức phụ cấp, mức hỗ trợ kiêm nhiệm</w:t>
      </w:r>
      <w:r w:rsidRPr="00E47209">
        <w:rPr>
          <w:rFonts w:ascii="Times New Roman" w:eastAsia="Calibri" w:hAnsi="Times New Roman" w:cs="Times New Roman"/>
          <w:bCs/>
          <w:color w:val="000000" w:themeColor="text1"/>
          <w:kern w:val="0"/>
          <w:sz w:val="28"/>
          <w:szCs w:val="28"/>
          <w:lang w:val="pt-BR"/>
          <w14:ligatures w14:val="none"/>
        </w:rPr>
        <w:t>.</w:t>
      </w:r>
    </w:p>
    <w:p w14:paraId="0954D70E" w14:textId="14EB9166"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Điều 6. Mức khoán kinh phí hoạt động ở thôn, tổ dân phố.</w:t>
      </w:r>
    </w:p>
    <w:p w14:paraId="16CAEFA8" w14:textId="6175F6FB"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Điều 7. Nguồn kinh phí.</w:t>
      </w:r>
    </w:p>
    <w:p w14:paraId="0258C305" w14:textId="22264363"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Điều 8. Tổ chức thực hiện.</w:t>
      </w:r>
    </w:p>
    <w:p w14:paraId="223E5921" w14:textId="020883B8" w:rsidR="003751EA" w:rsidRPr="00E47209" w:rsidRDefault="003751EA" w:rsidP="00A32423">
      <w:pPr>
        <w:widowControl w:val="0"/>
        <w:spacing w:before="8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Điều 9. Điều khoản thi hành</w:t>
      </w:r>
      <w:r w:rsidR="00D4725F" w:rsidRPr="00E47209">
        <w:rPr>
          <w:rFonts w:ascii="Times New Roman" w:eastAsia="Calibri" w:hAnsi="Times New Roman" w:cs="Times New Roman"/>
          <w:bCs/>
          <w:color w:val="000000" w:themeColor="text1"/>
          <w:kern w:val="0"/>
          <w:sz w:val="28"/>
          <w:szCs w:val="28"/>
          <w:lang w:val="pt-BR"/>
          <w14:ligatures w14:val="none"/>
        </w:rPr>
        <w:t xml:space="preserve"> và chuyển tiếp</w:t>
      </w:r>
      <w:r w:rsidRPr="00E47209">
        <w:rPr>
          <w:rFonts w:ascii="Times New Roman" w:eastAsia="Calibri" w:hAnsi="Times New Roman" w:cs="Times New Roman"/>
          <w:bCs/>
          <w:color w:val="000000" w:themeColor="text1"/>
          <w:kern w:val="0"/>
          <w:sz w:val="28"/>
          <w:szCs w:val="28"/>
          <w:lang w:val="pt-BR"/>
          <w14:ligatures w14:val="none"/>
        </w:rPr>
        <w:t>.</w:t>
      </w:r>
    </w:p>
    <w:p w14:paraId="25B8A223" w14:textId="66D081A2" w:rsidR="003751EA" w:rsidRPr="00E47209" w:rsidRDefault="003751EA" w:rsidP="00A32423">
      <w:pPr>
        <w:widowControl w:val="0"/>
        <w:spacing w:before="100" w:line="240" w:lineRule="auto"/>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lastRenderedPageBreak/>
        <w:t xml:space="preserve">3. Nội dung cơ bản </w:t>
      </w:r>
    </w:p>
    <w:p w14:paraId="67DC8158" w14:textId="027A271A" w:rsidR="003751EA" w:rsidRPr="00E47209" w:rsidRDefault="006151FD" w:rsidP="00A32423">
      <w:pPr>
        <w:widowControl w:val="0"/>
        <w:spacing w:before="10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t xml:space="preserve">3.1. </w:t>
      </w:r>
      <w:r w:rsidR="00BE75AC" w:rsidRPr="00E47209">
        <w:rPr>
          <w:rFonts w:ascii="Times New Roman" w:eastAsia="Calibri" w:hAnsi="Times New Roman" w:cs="Times New Roman"/>
          <w:b/>
          <w:i/>
          <w:iCs/>
          <w:color w:val="000000" w:themeColor="text1"/>
          <w:kern w:val="0"/>
          <w:sz w:val="28"/>
          <w:szCs w:val="28"/>
          <w:lang w:val="pt-BR"/>
          <w14:ligatures w14:val="none"/>
        </w:rPr>
        <w:t xml:space="preserve">Tăng </w:t>
      </w:r>
      <w:r w:rsidRPr="00E47209">
        <w:rPr>
          <w:rFonts w:ascii="Times New Roman" w:eastAsia="Calibri" w:hAnsi="Times New Roman" w:cs="Times New Roman"/>
          <w:b/>
          <w:i/>
          <w:iCs/>
          <w:color w:val="000000" w:themeColor="text1"/>
          <w:kern w:val="0"/>
          <w:sz w:val="28"/>
          <w:szCs w:val="28"/>
          <w:lang w:val="pt-BR"/>
          <w14:ligatures w14:val="none"/>
        </w:rPr>
        <w:t>mức phụ cấp đối với người hoạt động không chuyên trách ở thôn, tổ dân phố</w:t>
      </w:r>
    </w:p>
    <w:p w14:paraId="17338D33" w14:textId="514C761A" w:rsidR="006B0F7B" w:rsidRPr="00E47209" w:rsidRDefault="006B0F7B"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Theo quy định tại khoản 1 Điều 15 Nghị định số 185/2026/NĐ-CP, ngân sách nhà nước thực hiện khoán quỹ phụ cấp, bao gồm cả hỗ trợ đóng bảo hiểm xã hội, để chi trả phụ cấp hằng tháng đối với người hoạt động không chuyên trách ở thôn, tổ dân phố. Mức khoán quỹ phụ cấp được xác định theo 02 nhóm địa bàn: (1) đối với thôn có từ 700 hộ gia đình trở lên; tổ dân phố có từ 1.000 hộ gia đình trở lên; thôn, tổ dân phố thuộc đơn vị hành chính cấp xã trọng điểm về quốc phòng; thôn, tổ dân phố thuộc đơn vị hành chính cấp xã ở khu vực biên giới; thôn, tổ dân phố đặc biệt khó khăn, mức khoán là 8,0 lần mức lương cơ sở/tháng </w:t>
      </w:r>
      <w:r w:rsidRPr="00E47209">
        <w:rPr>
          <w:rFonts w:ascii="Times New Roman" w:eastAsia="Calibri" w:hAnsi="Times New Roman" w:cs="Times New Roman"/>
          <w:bCs/>
          <w:i/>
          <w:iCs/>
          <w:color w:val="000000" w:themeColor="text1"/>
          <w:kern w:val="0"/>
          <w:sz w:val="28"/>
          <w:szCs w:val="28"/>
          <w:lang w:val="pt-BR"/>
          <w14:ligatures w14:val="none"/>
        </w:rPr>
        <w:t>(tăng 33,33% so với chính sách trước đây)</w:t>
      </w:r>
      <w:r w:rsidRPr="00E47209">
        <w:rPr>
          <w:rFonts w:ascii="Times New Roman" w:eastAsia="Calibri" w:hAnsi="Times New Roman" w:cs="Times New Roman"/>
          <w:bCs/>
          <w:color w:val="000000" w:themeColor="text1"/>
          <w:kern w:val="0"/>
          <w:sz w:val="28"/>
          <w:szCs w:val="28"/>
          <w:lang w:val="pt-BR"/>
          <w14:ligatures w14:val="none"/>
        </w:rPr>
        <w:t xml:space="preserve">; (2) đối với thôn, tổ dân phố còn lại, mức khoán là 6,5 lần mức lương cơ sở/tháng </w:t>
      </w:r>
      <w:r w:rsidRPr="00E47209">
        <w:rPr>
          <w:rFonts w:ascii="Times New Roman" w:eastAsia="Calibri" w:hAnsi="Times New Roman" w:cs="Times New Roman"/>
          <w:bCs/>
          <w:i/>
          <w:iCs/>
          <w:color w:val="000000" w:themeColor="text1"/>
          <w:kern w:val="0"/>
          <w:sz w:val="28"/>
          <w:szCs w:val="28"/>
          <w:lang w:val="pt-BR"/>
          <w14:ligatures w14:val="none"/>
        </w:rPr>
        <w:t>(tăng 44,44% so với chính sách trước đây)</w:t>
      </w:r>
      <w:r w:rsidRPr="00E47209">
        <w:rPr>
          <w:rFonts w:ascii="Times New Roman" w:eastAsia="Calibri" w:hAnsi="Times New Roman" w:cs="Times New Roman"/>
          <w:bCs/>
          <w:color w:val="000000" w:themeColor="text1"/>
          <w:kern w:val="0"/>
          <w:sz w:val="28"/>
          <w:szCs w:val="28"/>
          <w:lang w:val="pt-BR"/>
          <w14:ligatures w14:val="none"/>
        </w:rPr>
        <w:t>.</w:t>
      </w:r>
    </w:p>
    <w:p w14:paraId="45125313" w14:textId="25B214B8" w:rsidR="006B0F7B" w:rsidRPr="00E47209" w:rsidRDefault="00C419C8"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6B0F7B" w:rsidRPr="00E47209">
        <w:rPr>
          <w:rFonts w:ascii="Times New Roman" w:eastAsia="Calibri" w:hAnsi="Times New Roman" w:cs="Times New Roman"/>
          <w:bCs/>
          <w:color w:val="000000" w:themeColor="text1"/>
          <w:kern w:val="0"/>
          <w:sz w:val="28"/>
          <w:szCs w:val="28"/>
          <w:lang w:val="pt-BR"/>
          <w14:ligatures w14:val="none"/>
        </w:rPr>
        <w:t xml:space="preserve">Tuy nhiên, mức khoán quỹ phụ cấp của Trung ương là mức khoán tổng thể, không phải mức phụ cấp ấn định riêng cho từng chức danh. Trên cơ sở mức khoán này, Hội đồng nhân dân cấp tỉnh quy định cụ thể mức phụ cấp đối với từng chức danh người hoạt động không chuyên trách ở thôn, tổ dân phố; mức phụ cấp kiêm nhiệm; đồng thời phải xem xét trong tổng thể các chính sách có liên quan, gồm phụ cấp theo trình độ đào tạo, mức hỗ trợ đối với người tham gia hoạt động ở thôn, tổ dân phố, mức </w:t>
      </w:r>
      <w:r w:rsidRPr="00E47209">
        <w:rPr>
          <w:rFonts w:ascii="Times New Roman" w:eastAsia="Calibri" w:hAnsi="Times New Roman" w:cs="Times New Roman"/>
          <w:bCs/>
          <w:color w:val="000000" w:themeColor="text1"/>
          <w:kern w:val="0"/>
          <w:sz w:val="28"/>
          <w:szCs w:val="28"/>
          <w:lang w:val="pt-BR"/>
          <w14:ligatures w14:val="none"/>
        </w:rPr>
        <w:t xml:space="preserve">phụ cấp, </w:t>
      </w:r>
      <w:r w:rsidR="006B0F7B" w:rsidRPr="00E47209">
        <w:rPr>
          <w:rFonts w:ascii="Times New Roman" w:eastAsia="Calibri" w:hAnsi="Times New Roman" w:cs="Times New Roman"/>
          <w:bCs/>
          <w:color w:val="000000" w:themeColor="text1"/>
          <w:kern w:val="0"/>
          <w:sz w:val="28"/>
          <w:szCs w:val="28"/>
          <w:lang w:val="pt-BR"/>
          <w14:ligatures w14:val="none"/>
        </w:rPr>
        <w:t>hỗ trợ kiêm nhiệm và mức khoán kinh phí hoạt động ở thôn, tổ dân phố. Vì vậy, việc xác định mức phụ cấp trong dự thảo Nghị quyết không chỉ căn cứ vào mức khoán của Trung ương, mà còn phải bảo đảm phù hợp với tính chất, khối lượng công việc của từng chức danh, khả năng cân đối ngân sách địa phương</w:t>
      </w:r>
      <w:r w:rsidR="00861512" w:rsidRPr="00E47209">
        <w:rPr>
          <w:rFonts w:ascii="Times New Roman" w:eastAsia="Calibri" w:hAnsi="Times New Roman" w:cs="Times New Roman"/>
          <w:bCs/>
          <w:color w:val="000000" w:themeColor="text1"/>
          <w:kern w:val="0"/>
          <w:sz w:val="28"/>
          <w:szCs w:val="28"/>
          <w:lang w:val="pt-BR"/>
          <w14:ligatures w14:val="none"/>
        </w:rPr>
        <w:t xml:space="preserve"> và</w:t>
      </w:r>
      <w:r w:rsidR="006B0F7B" w:rsidRPr="00E47209">
        <w:rPr>
          <w:rFonts w:ascii="Times New Roman" w:eastAsia="Calibri" w:hAnsi="Times New Roman" w:cs="Times New Roman"/>
          <w:bCs/>
          <w:color w:val="000000" w:themeColor="text1"/>
          <w:kern w:val="0"/>
          <w:sz w:val="28"/>
          <w:szCs w:val="28"/>
          <w:lang w:val="pt-BR"/>
          <w14:ligatures w14:val="none"/>
        </w:rPr>
        <w:t xml:space="preserve"> tính </w:t>
      </w:r>
      <w:r w:rsidR="00B10D1F" w:rsidRPr="00E47209">
        <w:rPr>
          <w:rFonts w:ascii="Times New Roman" w:eastAsia="Calibri" w:hAnsi="Times New Roman" w:cs="Times New Roman"/>
          <w:bCs/>
          <w:color w:val="000000" w:themeColor="text1"/>
          <w:kern w:val="0"/>
          <w:sz w:val="28"/>
          <w:szCs w:val="28"/>
          <w:lang w:val="pt-BR"/>
          <w14:ligatures w14:val="none"/>
        </w:rPr>
        <w:t>khả thi</w:t>
      </w:r>
      <w:r w:rsidR="006B0F7B" w:rsidRPr="00E47209">
        <w:rPr>
          <w:rFonts w:ascii="Times New Roman" w:eastAsia="Calibri" w:hAnsi="Times New Roman" w:cs="Times New Roman"/>
          <w:bCs/>
          <w:color w:val="000000" w:themeColor="text1"/>
          <w:kern w:val="0"/>
          <w:sz w:val="28"/>
          <w:szCs w:val="28"/>
          <w:lang w:val="pt-BR"/>
          <w14:ligatures w14:val="none"/>
        </w:rPr>
        <w:t xml:space="preserve"> của chính sách.</w:t>
      </w:r>
    </w:p>
    <w:p w14:paraId="4FA7F098" w14:textId="77777777" w:rsidR="00861512" w:rsidRPr="00E47209" w:rsidRDefault="00861512"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6B0F7B" w:rsidRPr="00E47209">
        <w:rPr>
          <w:rFonts w:ascii="Times New Roman" w:eastAsia="Calibri" w:hAnsi="Times New Roman" w:cs="Times New Roman"/>
          <w:bCs/>
          <w:color w:val="000000" w:themeColor="text1"/>
          <w:kern w:val="0"/>
          <w:sz w:val="28"/>
          <w:szCs w:val="28"/>
          <w:lang w:val="pt-BR"/>
          <w14:ligatures w14:val="none"/>
        </w:rPr>
        <w:t>Trên cơ sở đó, dự thảo Nghị quyết quy định mức phụ cấp đối với người hoạt động không chuyên trách ở thôn, tổ dân phố theo 02 nhóm địa bàn</w:t>
      </w:r>
      <w:r w:rsidRPr="00E47209">
        <w:rPr>
          <w:rFonts w:ascii="Times New Roman" w:eastAsia="Calibri" w:hAnsi="Times New Roman" w:cs="Times New Roman"/>
          <w:bCs/>
          <w:color w:val="000000" w:themeColor="text1"/>
          <w:kern w:val="0"/>
          <w:sz w:val="28"/>
          <w:szCs w:val="28"/>
          <w:lang w:val="pt-BR"/>
          <w14:ligatures w14:val="none"/>
        </w:rPr>
        <w:t xml:space="preserve"> theo quy định</w:t>
      </w:r>
      <w:r w:rsidR="006B0F7B" w:rsidRPr="00E47209">
        <w:rPr>
          <w:rFonts w:ascii="Times New Roman" w:eastAsia="Calibri" w:hAnsi="Times New Roman" w:cs="Times New Roman"/>
          <w:bCs/>
          <w:color w:val="000000" w:themeColor="text1"/>
          <w:kern w:val="0"/>
          <w:sz w:val="28"/>
          <w:szCs w:val="28"/>
          <w:lang w:val="pt-BR"/>
          <w14:ligatures w14:val="none"/>
        </w:rPr>
        <w:t xml:space="preserve"> tại Nghị định số 185/2026/NĐ-CP; đồng thời phản ánh sự khác biệt về quy mô dân cư, điều kiện địa bàn, tính chất nhiệm vụ, mức độ phức tạp trong quản lý, vận động Nhân dân, bảo đảm quốc phòng, an ninh, trật tự an toàn xã hội ở cơ sở.</w:t>
      </w:r>
      <w:r w:rsidRPr="00E47209">
        <w:rPr>
          <w:rFonts w:ascii="Times New Roman" w:eastAsia="Calibri" w:hAnsi="Times New Roman" w:cs="Times New Roman"/>
          <w:bCs/>
          <w:color w:val="000000" w:themeColor="text1"/>
          <w:kern w:val="0"/>
          <w:sz w:val="28"/>
          <w:szCs w:val="28"/>
          <w:lang w:val="pt-BR"/>
          <w14:ligatures w14:val="none"/>
        </w:rPr>
        <w:t xml:space="preserve"> </w:t>
      </w:r>
      <w:r w:rsidR="006B0F7B" w:rsidRPr="00E47209">
        <w:rPr>
          <w:rFonts w:ascii="Times New Roman" w:eastAsia="Calibri" w:hAnsi="Times New Roman" w:cs="Times New Roman"/>
          <w:bCs/>
          <w:color w:val="000000" w:themeColor="text1"/>
          <w:kern w:val="0"/>
          <w:sz w:val="28"/>
          <w:szCs w:val="28"/>
          <w:lang w:val="pt-BR"/>
          <w14:ligatures w14:val="none"/>
        </w:rPr>
        <w:t>Cụ thể</w:t>
      </w:r>
      <w:r w:rsidRPr="00E47209">
        <w:rPr>
          <w:rFonts w:ascii="Times New Roman" w:eastAsia="Calibri" w:hAnsi="Times New Roman" w:cs="Times New Roman"/>
          <w:bCs/>
          <w:color w:val="000000" w:themeColor="text1"/>
          <w:kern w:val="0"/>
          <w:sz w:val="28"/>
          <w:szCs w:val="28"/>
          <w:lang w:val="pt-BR"/>
          <w14:ligatures w14:val="none"/>
        </w:rPr>
        <w:t xml:space="preserve">: </w:t>
      </w:r>
    </w:p>
    <w:p w14:paraId="7B72A0F4" w14:textId="77777777" w:rsidR="00861512" w:rsidRPr="00E47209" w:rsidRDefault="00861512"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Đ</w:t>
      </w:r>
      <w:r w:rsidR="006B0F7B" w:rsidRPr="00E47209">
        <w:rPr>
          <w:rFonts w:ascii="Times New Roman" w:eastAsia="Calibri" w:hAnsi="Times New Roman" w:cs="Times New Roman"/>
          <w:bCs/>
          <w:color w:val="000000" w:themeColor="text1"/>
          <w:kern w:val="0"/>
          <w:sz w:val="28"/>
          <w:szCs w:val="28"/>
          <w:lang w:val="pt-BR"/>
          <w14:ligatures w14:val="none"/>
        </w:rPr>
        <w:t>ối với thôn, tổ dân phố có yếu tố đặc thù</w:t>
      </w:r>
      <w:r w:rsidRPr="00E47209">
        <w:rPr>
          <w:rFonts w:ascii="Times New Roman" w:eastAsia="Calibri" w:hAnsi="Times New Roman" w:cs="Times New Roman"/>
          <w:bCs/>
          <w:color w:val="000000" w:themeColor="text1"/>
          <w:kern w:val="0"/>
          <w:sz w:val="28"/>
          <w:szCs w:val="28"/>
          <w:lang w:val="pt-BR"/>
          <w14:ligatures w14:val="none"/>
        </w:rPr>
        <w:t xml:space="preserve">: </w:t>
      </w:r>
      <w:r w:rsidR="006B0F7B" w:rsidRPr="00E47209">
        <w:rPr>
          <w:rFonts w:ascii="Times New Roman" w:eastAsia="Calibri" w:hAnsi="Times New Roman" w:cs="Times New Roman"/>
          <w:bCs/>
          <w:color w:val="000000" w:themeColor="text1"/>
          <w:kern w:val="0"/>
          <w:sz w:val="28"/>
          <w:szCs w:val="28"/>
          <w:lang w:val="pt-BR"/>
          <w14:ligatures w14:val="none"/>
        </w:rPr>
        <w:t xml:space="preserve">Bí thư chi bộ, Trưởng thôn hoặc Tổ trưởng tổ dân phố hưởng mức phụ cấp 1,8 lần mức lương cơ sở/người/tháng; Trưởng Ban công tác Mặt trận hưởng mức phụ cấp 1,6 lần mức lương cơ sở/người/tháng. </w:t>
      </w:r>
    </w:p>
    <w:p w14:paraId="10409E00" w14:textId="77777777" w:rsidR="00CD6007" w:rsidRPr="00E47209" w:rsidRDefault="00861512"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6B0F7B" w:rsidRPr="00E47209">
        <w:rPr>
          <w:rFonts w:ascii="Times New Roman" w:eastAsia="Calibri" w:hAnsi="Times New Roman" w:cs="Times New Roman"/>
          <w:bCs/>
          <w:color w:val="000000" w:themeColor="text1"/>
          <w:kern w:val="0"/>
          <w:sz w:val="28"/>
          <w:szCs w:val="28"/>
          <w:lang w:val="pt-BR"/>
          <w14:ligatures w14:val="none"/>
        </w:rPr>
        <w:t>Đối với thôn, tổ dân phố còn lại</w:t>
      </w: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Bí thư chi bộ, Trưởng thôn hoặc Tổ trưởng tổ dân phố hưởng mức phụ cấp 1,7 lần mức lương cơ sở/người/tháng; Trưởng Ban công tác Mặt trận hưởng mức phụ cấp 1,4 lần mức lương cơ sở/người/tháng. </w:t>
      </w:r>
    </w:p>
    <w:p w14:paraId="3E6406EB" w14:textId="78525FE6" w:rsidR="00861512" w:rsidRPr="00E47209" w:rsidRDefault="00CD6007"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14:ligatures w14:val="none"/>
        </w:rPr>
        <w:t>Với mức phụ cấp này, mức phụ cấp của 03 chức danh người hoạt động không chuyên trách ở thôn, tổ dân phố tăng bình quân khoảng 43% so với chính sách của 02 tỉnh trước hợp nhất; trong đó tăng</w:t>
      </w:r>
      <w:r w:rsidR="00C12D05" w:rsidRPr="00E47209">
        <w:rPr>
          <w:rFonts w:ascii="Times New Roman" w:eastAsia="Calibri" w:hAnsi="Times New Roman" w:cs="Times New Roman"/>
          <w:bCs/>
          <w:color w:val="000000" w:themeColor="text1"/>
          <w:kern w:val="0"/>
          <w:sz w:val="28"/>
          <w:szCs w:val="28"/>
          <w14:ligatures w14:val="none"/>
        </w:rPr>
        <w:t xml:space="preserve"> bình quân</w:t>
      </w:r>
      <w:r w:rsidRPr="00E47209">
        <w:rPr>
          <w:rFonts w:ascii="Times New Roman" w:eastAsia="Calibri" w:hAnsi="Times New Roman" w:cs="Times New Roman"/>
          <w:bCs/>
          <w:color w:val="000000" w:themeColor="text1"/>
          <w:kern w:val="0"/>
          <w:sz w:val="28"/>
          <w:szCs w:val="28"/>
          <w14:ligatures w14:val="none"/>
        </w:rPr>
        <w:t xml:space="preserve"> khoảng 24% so với chính sách của tỉnh Tuyên Quang trước hợp nhất và khoảng 63% so với chính sách của tỉnh Hà Giang trước hợp nhất.</w:t>
      </w:r>
      <w:r w:rsidR="00C12D05" w:rsidRPr="00E47209">
        <w:rPr>
          <w:rFonts w:ascii="Times New Roman" w:eastAsia="Calibri" w:hAnsi="Times New Roman" w:cs="Times New Roman"/>
          <w:bCs/>
          <w:color w:val="000000" w:themeColor="text1"/>
          <w:kern w:val="0"/>
          <w:sz w:val="28"/>
          <w:szCs w:val="28"/>
          <w14:ligatures w14:val="none"/>
        </w:rPr>
        <w:t xml:space="preserve"> </w:t>
      </w:r>
    </w:p>
    <w:p w14:paraId="12F27DB3" w14:textId="4FAA4B49" w:rsidR="006B0F7B" w:rsidRPr="00E47209" w:rsidRDefault="00CD6007"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lastRenderedPageBreak/>
        <w:t xml:space="preserve">- </w:t>
      </w:r>
      <w:r w:rsidR="006B0F7B" w:rsidRPr="00E47209">
        <w:rPr>
          <w:rFonts w:ascii="Times New Roman" w:eastAsia="Calibri" w:hAnsi="Times New Roman" w:cs="Times New Roman"/>
          <w:bCs/>
          <w:color w:val="000000" w:themeColor="text1"/>
          <w:kern w:val="0"/>
          <w:sz w:val="28"/>
          <w:szCs w:val="28"/>
          <w:lang w:val="pt-BR"/>
          <w14:ligatures w14:val="none"/>
        </w:rPr>
        <w:t>Việc quy định các mức phụ cấp nêu trên xuất phát từ</w:t>
      </w:r>
      <w:r w:rsidRPr="00E47209">
        <w:rPr>
          <w:rFonts w:ascii="Times New Roman" w:eastAsia="Calibri" w:hAnsi="Times New Roman" w:cs="Times New Roman"/>
          <w:bCs/>
          <w:color w:val="000000" w:themeColor="text1"/>
          <w:kern w:val="0"/>
          <w:sz w:val="28"/>
          <w:szCs w:val="28"/>
          <w:lang w:val="pt-BR"/>
          <w14:ligatures w14:val="none"/>
        </w:rPr>
        <w:t xml:space="preserve"> các lý do:</w:t>
      </w:r>
    </w:p>
    <w:p w14:paraId="0345F46C" w14:textId="7AB0ED4A" w:rsidR="006B0F7B" w:rsidRPr="00E47209" w:rsidRDefault="00CD6007"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C12D05" w:rsidRPr="00E47209">
        <w:rPr>
          <w:rFonts w:ascii="Times New Roman" w:eastAsia="Calibri" w:hAnsi="Times New Roman" w:cs="Times New Roman"/>
          <w:bCs/>
          <w:color w:val="000000" w:themeColor="text1"/>
          <w:kern w:val="0"/>
          <w:sz w:val="28"/>
          <w:szCs w:val="28"/>
          <w:lang w:val="pt-BR"/>
          <w14:ligatures w14:val="none"/>
        </w:rPr>
        <w:t>C</w:t>
      </w:r>
      <w:r w:rsidR="006B0F7B" w:rsidRPr="00E47209">
        <w:rPr>
          <w:rFonts w:ascii="Times New Roman" w:eastAsia="Calibri" w:hAnsi="Times New Roman" w:cs="Times New Roman"/>
          <w:bCs/>
          <w:color w:val="000000" w:themeColor="text1"/>
          <w:kern w:val="0"/>
          <w:sz w:val="28"/>
          <w:szCs w:val="28"/>
          <w:lang w:val="pt-BR"/>
          <w14:ligatures w14:val="none"/>
        </w:rPr>
        <w:t>ụ thể hóa kịp thời quy định mới của Chính phủ khi Trung ương đã điều chỉnh tăng mức khoán quỹ phụ cấp đối với người hoạt động không chuyên trách ở thôn, tổ dân phố; qua đó chuyển hóa nguồn lực khoán thành chính sách cụ thể, trực tiếp động viên đội ngũ ở cơ sở.</w:t>
      </w:r>
    </w:p>
    <w:p w14:paraId="022E7B31" w14:textId="3D610A06" w:rsidR="006B0F7B" w:rsidRPr="00E47209" w:rsidRDefault="00C12D05"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P</w:t>
      </w:r>
      <w:r w:rsidR="006B0F7B" w:rsidRPr="00E47209">
        <w:rPr>
          <w:rFonts w:ascii="Times New Roman" w:eastAsia="Calibri" w:hAnsi="Times New Roman" w:cs="Times New Roman"/>
          <w:bCs/>
          <w:color w:val="000000" w:themeColor="text1"/>
          <w:kern w:val="0"/>
          <w:sz w:val="28"/>
          <w:szCs w:val="28"/>
          <w:lang w:val="pt-BR"/>
          <w14:ligatures w14:val="none"/>
        </w:rPr>
        <w:t>hù hợp với yêu cầu sắp xếp, tổ chức lại thôn, tổ dân phố. Sau sắp xếp, số lượng thôn, tổ dân phố giảm nhưng quy mô địa bàn, dân số, phạm vi quản lý và khối lượng công việc của mỗi thôn, tổ dân phố tăng lên. Do đó, việc điều chỉnh tăng phụ cấp là cần thiết để bảo đảm tương xứng hơn với yêu cầu nhiệm vụ, góp phần ổn định tư tưởng, tạo đồng thuận trong Nhân dân và đội ngũ ở cơ sở.</w:t>
      </w:r>
    </w:p>
    <w:p w14:paraId="360A3615" w14:textId="228EBFE9" w:rsidR="006B0F7B" w:rsidRPr="00E47209" w:rsidRDefault="00C12D05"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P</w:t>
      </w:r>
      <w:r w:rsidR="006B0F7B" w:rsidRPr="00E47209">
        <w:rPr>
          <w:rFonts w:ascii="Times New Roman" w:eastAsia="Calibri" w:hAnsi="Times New Roman" w:cs="Times New Roman"/>
          <w:bCs/>
          <w:color w:val="000000" w:themeColor="text1"/>
          <w:kern w:val="0"/>
          <w:sz w:val="28"/>
          <w:szCs w:val="28"/>
          <w:lang w:val="pt-BR"/>
          <w14:ligatures w14:val="none"/>
        </w:rPr>
        <w:t>hù hợp với yêu cầu vận hành mô hình chính quyền địa phương 02 cấp. Khi cấp xã được giao nhiều nhiệm vụ hơn, phạm vi quản lý rộng hơn, đội ngũ ở thôn, tổ dân phố có vai trò quan trọng trong nắm tình hình Nhân dân, tuyên truyền, vận động, hòa giải ở cơ sở, giữ gìn an ninh, trật tự, hỗ trợ chính quyền cấp xã giải quyết công việc ngay từ địa bàn dân cư, hạn chế phát sinh điểm nóng, đơn thư, kiến nghị vượt cấp.</w:t>
      </w:r>
    </w:p>
    <w:p w14:paraId="10186860" w14:textId="21B7D8CB" w:rsidR="006B0F7B" w:rsidRPr="00E47209" w:rsidRDefault="00C12D05"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Đ</w:t>
      </w:r>
      <w:r w:rsidR="006B0F7B" w:rsidRPr="00E47209">
        <w:rPr>
          <w:rFonts w:ascii="Times New Roman" w:eastAsia="Calibri" w:hAnsi="Times New Roman" w:cs="Times New Roman"/>
          <w:bCs/>
          <w:color w:val="000000" w:themeColor="text1"/>
          <w:kern w:val="0"/>
          <w:sz w:val="28"/>
          <w:szCs w:val="28"/>
          <w:lang w:val="pt-BR"/>
          <w14:ligatures w14:val="none"/>
        </w:rPr>
        <w:t>áp ứng nguyện vọng chính đáng của cử tri, Nhân dân và đội ngũ người hoạt động không chuyên trách ở thôn, tổ dân phố. Thực tế thời gian qua cho thấy mức phụ cấp của các chức danh ở thôn, tổ dân phố còn thấp so với trách nhiệm, thời gian và áp lực công việc, nhất là tại địa bàn miền núi, biên giới, vùng sâu, vùng xa, vùng đồng bào dân tộc thiểu số. Việc tăng phụ cấp thể hiện sự quan tâm của tỉnh đối với những người trực tiếp bám dân, bám địa bàn, thực hiện nhiệm vụ thường xuyên tại cơ sở.</w:t>
      </w:r>
    </w:p>
    <w:p w14:paraId="394F328F" w14:textId="50302DC8" w:rsidR="006B0F7B" w:rsidRPr="00E47209" w:rsidRDefault="00C12D05"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B</w:t>
      </w:r>
      <w:r w:rsidR="006B0F7B" w:rsidRPr="00E47209">
        <w:rPr>
          <w:rFonts w:ascii="Times New Roman" w:eastAsia="Calibri" w:hAnsi="Times New Roman" w:cs="Times New Roman"/>
          <w:bCs/>
          <w:color w:val="000000" w:themeColor="text1"/>
          <w:kern w:val="0"/>
          <w:sz w:val="28"/>
          <w:szCs w:val="28"/>
          <w:lang w:val="pt-BR"/>
          <w14:ligatures w14:val="none"/>
        </w:rPr>
        <w:t>ảo đảm tương quan hợp lý giữa các chức danh và giữa các nhóm địa bàn. Bí thư chi bộ, Trưởng thôn, Tổ trưởng tổ dân phố là các chức danh nòng cốt trong lãnh đạo, điều hành, tổ chức thực hiện nhiệm vụ ở cộng đồng dân cư nên được quy định mức phụ cấp cao hơn. Trưởng Ban công tác Mặt trận có vai trò quan trọng trong tập hợp, vận động Nhân dân, phát huy dân chủ ở cơ sở, giám sát và xây dựng khối đại đoàn kết ở khu dân cư nên được điều chỉnh tăng tương ứng. Đối với thôn, tổ dân phố có quy mô dân cư lớn, thuộc khu vực biên giới, đặc biệt khó khăn hoặc địa bàn trọng điểm về quốc phòng, mức phụ cấp được quy định cao hơn để phù hợp với tính chất, mức độ phức tạp của nhiệm vụ.</w:t>
      </w:r>
    </w:p>
    <w:p w14:paraId="7CDB89A3" w14:textId="2F0376EB" w:rsidR="00BE75AC" w:rsidRPr="00E47209" w:rsidRDefault="00C12D05" w:rsidP="00A32423">
      <w:pPr>
        <w:widowControl w:val="0"/>
        <w:spacing w:before="64"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B</w:t>
      </w:r>
      <w:r w:rsidR="006B0F7B" w:rsidRPr="00E47209">
        <w:rPr>
          <w:rFonts w:ascii="Times New Roman" w:eastAsia="Calibri" w:hAnsi="Times New Roman" w:cs="Times New Roman"/>
          <w:bCs/>
          <w:color w:val="000000" w:themeColor="text1"/>
          <w:kern w:val="0"/>
          <w:sz w:val="28"/>
          <w:szCs w:val="28"/>
          <w:lang w:val="pt-BR"/>
          <w14:ligatures w14:val="none"/>
        </w:rPr>
        <w:t xml:space="preserve">ảo đảm tính khả thi, phù hợp khả năng cân đối ngân sách địa phương. Hiện nay, ngoài 03 chức danh người hoạt động không chuyên trách </w:t>
      </w:r>
      <w:r w:rsidRPr="00E47209">
        <w:rPr>
          <w:rFonts w:ascii="Times New Roman" w:eastAsia="Calibri" w:hAnsi="Times New Roman" w:cs="Times New Roman"/>
          <w:bCs/>
          <w:color w:val="000000" w:themeColor="text1"/>
          <w:kern w:val="0"/>
          <w:sz w:val="28"/>
          <w:szCs w:val="28"/>
          <w:lang w:val="pt-BR"/>
          <w14:ligatures w14:val="none"/>
        </w:rPr>
        <w:t>và các chức danh người tham gia hoạt động ở thôn, tổ dân phố;</w:t>
      </w:r>
      <w:r w:rsidR="006B0F7B" w:rsidRPr="00E47209">
        <w:rPr>
          <w:rFonts w:ascii="Times New Roman" w:eastAsia="Calibri" w:hAnsi="Times New Roman" w:cs="Times New Roman"/>
          <w:bCs/>
          <w:color w:val="000000" w:themeColor="text1"/>
          <w:kern w:val="0"/>
          <w:sz w:val="28"/>
          <w:szCs w:val="28"/>
          <w:lang w:val="pt-BR"/>
          <w14:ligatures w14:val="none"/>
        </w:rPr>
        <w:t xml:space="preserve"> tại thôn, tổ dân phố còn có các chức danh khác được hưởng phụ cấp, hỗ trợ theo nghị quyết của Hội đồng nhân dân tỉnh</w:t>
      </w:r>
      <w:r w:rsidRPr="00E47209">
        <w:rPr>
          <w:rFonts w:ascii="Times New Roman" w:eastAsia="Calibri" w:hAnsi="Times New Roman" w:cs="Times New Roman"/>
          <w:bCs/>
          <w:color w:val="000000" w:themeColor="text1"/>
          <w:kern w:val="0"/>
          <w:sz w:val="28"/>
          <w:szCs w:val="28"/>
          <w:lang w:val="pt-BR"/>
          <w14:ligatures w14:val="none"/>
        </w:rPr>
        <w:t>, đều do ngân sách địa phương bảo đảm</w:t>
      </w:r>
      <w:r w:rsidR="006B0F7B" w:rsidRPr="00E47209">
        <w:rPr>
          <w:rFonts w:ascii="Times New Roman" w:eastAsia="Calibri" w:hAnsi="Times New Roman" w:cs="Times New Roman"/>
          <w:bCs/>
          <w:color w:val="000000" w:themeColor="text1"/>
          <w:kern w:val="0"/>
          <w:sz w:val="28"/>
          <w:szCs w:val="28"/>
          <w:lang w:val="pt-BR"/>
          <w14:ligatures w14:val="none"/>
        </w:rPr>
        <w:t xml:space="preserve"> như</w:t>
      </w:r>
      <w:r w:rsidRPr="00E47209">
        <w:rPr>
          <w:rFonts w:ascii="Times New Roman" w:eastAsia="Calibri" w:hAnsi="Times New Roman" w:cs="Times New Roman"/>
          <w:bCs/>
          <w:color w:val="000000" w:themeColor="text1"/>
          <w:kern w:val="0"/>
          <w:sz w:val="28"/>
          <w:szCs w:val="28"/>
          <w:lang w:val="pt-BR"/>
          <w14:ligatures w14:val="none"/>
        </w:rPr>
        <w:t>:</w:t>
      </w:r>
      <w:r w:rsidR="006B0F7B" w:rsidRPr="00E47209">
        <w:rPr>
          <w:rFonts w:ascii="Times New Roman" w:eastAsia="Calibri" w:hAnsi="Times New Roman" w:cs="Times New Roman"/>
          <w:bCs/>
          <w:color w:val="000000" w:themeColor="text1"/>
          <w:kern w:val="0"/>
          <w:sz w:val="28"/>
          <w:szCs w:val="28"/>
          <w:lang w:val="pt-BR"/>
          <w14:ligatures w14:val="none"/>
        </w:rPr>
        <w:t xml:space="preserve"> Thôn đội trưởng, thành viên Tổ bảo vệ an ninh, trật tự ở cơ sở, cộng tác viên dân số</w:t>
      </w:r>
      <w:r w:rsidRPr="00E47209">
        <w:rPr>
          <w:rFonts w:ascii="Times New Roman" w:eastAsia="Calibri" w:hAnsi="Times New Roman" w:cs="Times New Roman"/>
          <w:bCs/>
          <w:color w:val="000000" w:themeColor="text1"/>
          <w:kern w:val="0"/>
          <w:sz w:val="28"/>
          <w:szCs w:val="28"/>
          <w:lang w:val="pt-BR"/>
          <w14:ligatures w14:val="none"/>
        </w:rPr>
        <w:t xml:space="preserve">,... </w:t>
      </w:r>
      <w:r w:rsidR="006B0F7B" w:rsidRPr="00E47209">
        <w:rPr>
          <w:rFonts w:ascii="Times New Roman" w:eastAsia="Calibri" w:hAnsi="Times New Roman" w:cs="Times New Roman"/>
          <w:bCs/>
          <w:color w:val="000000" w:themeColor="text1"/>
          <w:kern w:val="0"/>
          <w:sz w:val="28"/>
          <w:szCs w:val="28"/>
          <w:lang w:val="pt-BR"/>
          <w14:ligatures w14:val="none"/>
        </w:rPr>
        <w:t xml:space="preserve">Với dự kiến số lượng thôn, tổ dân phố sau sắp xếp khoảng </w:t>
      </w:r>
      <w:r w:rsidR="00230348">
        <w:rPr>
          <w:rFonts w:ascii="Times New Roman" w:eastAsia="Calibri" w:hAnsi="Times New Roman" w:cs="Times New Roman"/>
          <w:bCs/>
          <w:color w:val="000000" w:themeColor="text1"/>
          <w:kern w:val="0"/>
          <w:sz w:val="28"/>
          <w:szCs w:val="28"/>
          <w:lang w:val="pt-BR"/>
          <w14:ligatures w14:val="none"/>
        </w:rPr>
        <w:t>gần</w:t>
      </w:r>
      <w:r w:rsidR="006B0F7B" w:rsidRPr="00E47209">
        <w:rPr>
          <w:rFonts w:ascii="Times New Roman" w:eastAsia="Calibri" w:hAnsi="Times New Roman" w:cs="Times New Roman"/>
          <w:bCs/>
          <w:color w:val="000000" w:themeColor="text1"/>
          <w:kern w:val="0"/>
          <w:sz w:val="28"/>
          <w:szCs w:val="28"/>
          <w:lang w:val="pt-BR"/>
          <w14:ligatures w14:val="none"/>
        </w:rPr>
        <w:t xml:space="preserve"> 1.900 thôn, tổ dân phố, tổng kinh phí chi trả phụ cấp hằng tháng và các chính sách đối với các đối tượng này là trên </w:t>
      </w:r>
      <w:r w:rsidR="00703D22">
        <w:rPr>
          <w:rFonts w:ascii="Times New Roman" w:eastAsia="Calibri" w:hAnsi="Times New Roman" w:cs="Times New Roman"/>
          <w:bCs/>
          <w:color w:val="000000" w:themeColor="text1"/>
          <w:kern w:val="0"/>
          <w:sz w:val="28"/>
          <w:szCs w:val="28"/>
          <w:lang w:val="pt-BR"/>
          <w14:ligatures w14:val="none"/>
        </w:rPr>
        <w:t>5</w:t>
      </w:r>
      <w:r w:rsidR="006B0F7B" w:rsidRPr="00E47209">
        <w:rPr>
          <w:rFonts w:ascii="Times New Roman" w:eastAsia="Calibri" w:hAnsi="Times New Roman" w:cs="Times New Roman"/>
          <w:bCs/>
          <w:color w:val="000000" w:themeColor="text1"/>
          <w:kern w:val="0"/>
          <w:sz w:val="28"/>
          <w:szCs w:val="28"/>
          <w:lang w:val="pt-BR"/>
          <w14:ligatures w14:val="none"/>
        </w:rPr>
        <w:t xml:space="preserve">00 tỷ đồng/năm, tính đủ 12 tháng theo mức lương cơ sở 2,53 triệu đồng. Vì vậy, phương án tăng phụ cấp trong dự thảo Nghị quyết là phương án có tính cân đối, </w:t>
      </w:r>
      <w:r w:rsidR="00B73A70" w:rsidRPr="00E47209">
        <w:rPr>
          <w:rFonts w:ascii="Times New Roman" w:eastAsia="Calibri" w:hAnsi="Times New Roman" w:cs="Times New Roman"/>
          <w:bCs/>
          <w:color w:val="000000" w:themeColor="text1"/>
          <w:kern w:val="0"/>
          <w:sz w:val="28"/>
          <w:szCs w:val="28"/>
          <w:lang w:val="pt-BR"/>
          <w14:ligatures w14:val="none"/>
        </w:rPr>
        <w:t xml:space="preserve">khả thi, </w:t>
      </w:r>
      <w:r w:rsidR="006B0F7B" w:rsidRPr="00E47209">
        <w:rPr>
          <w:rFonts w:ascii="Times New Roman" w:eastAsia="Calibri" w:hAnsi="Times New Roman" w:cs="Times New Roman"/>
          <w:bCs/>
          <w:color w:val="000000" w:themeColor="text1"/>
          <w:kern w:val="0"/>
          <w:sz w:val="28"/>
          <w:szCs w:val="28"/>
          <w:lang w:val="pt-BR"/>
          <w14:ligatures w14:val="none"/>
        </w:rPr>
        <w:t>vừa tạo chuyển biến rõ về chính sách đối với đội ngũ ở cơ sở, vừa không tạo áp lực lớn đối với ngân sách địa phương.</w:t>
      </w:r>
    </w:p>
    <w:p w14:paraId="1BC4F033" w14:textId="1A37DDAC" w:rsidR="00A02C0F" w:rsidRPr="00E47209" w:rsidRDefault="00A02C0F" w:rsidP="00A32423">
      <w:pPr>
        <w:widowControl w:val="0"/>
        <w:spacing w:before="10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lastRenderedPageBreak/>
        <w:t>3.2. Quy định hệ số phụ cấp theo trình độ đào tạo</w:t>
      </w:r>
    </w:p>
    <w:p w14:paraId="144B5C9D" w14:textId="64EBD864" w:rsidR="00272B95" w:rsidRPr="00E47209" w:rsidRDefault="00272B95"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Dự thảo Nghị quyết quy định phụ cấp tăng thêm theo trình độ đào tạo đối với người hoạt động không chuyên trách ở thôn, tổ dân phố nhằm khuyến khích đội ngũ này học tập, nâng cao trình độ chuyên môn, kỹ năng công tác, khả năng ứng dụng công nghệ thông tin và năng lực tổ chức, vận động Nhân dân ở cơ sở. Quy định này phù hợp với yêu cầu nâng cao chất lượng đội ngũ sau khi thực hiện mô hình chính quyền địa phương 02 cấp và sắp xếp, tổ chức lại thôn, tổ dân phố; nhất là trong bối cảnh quy mô địa bàn, dân số và khối lượng công việc ở thôn, tổ dân phố tăng, đòi hỏi người thực hiện nhiệm vụ phải có năng lực tốt hơn, đáp ứng yêu cầu quản lý, điều hành cộng đồng dân cư trong tình hình mới.</w:t>
      </w:r>
    </w:p>
    <w:p w14:paraId="391D537D" w14:textId="312018D7" w:rsidR="00A02C0F" w:rsidRPr="00E47209" w:rsidRDefault="00E2072B" w:rsidP="00A32423">
      <w:pPr>
        <w:widowControl w:val="0"/>
        <w:spacing w:before="100" w:line="240" w:lineRule="auto"/>
        <w:rPr>
          <w:rFonts w:ascii="Times New Roman" w:eastAsia="Calibri" w:hAnsi="Times New Roman" w:cs="Times New Roman"/>
          <w:bCs/>
          <w:color w:val="000000" w:themeColor="text1"/>
          <w:spacing w:val="-2"/>
          <w:kern w:val="0"/>
          <w:sz w:val="28"/>
          <w:szCs w:val="28"/>
          <w:lang w:val="pt-BR"/>
          <w14:ligatures w14:val="none"/>
        </w:rPr>
      </w:pPr>
      <w:r w:rsidRPr="00E47209">
        <w:rPr>
          <w:rFonts w:ascii="Times New Roman" w:eastAsia="Calibri" w:hAnsi="Times New Roman" w:cs="Times New Roman"/>
          <w:bCs/>
          <w:color w:val="000000" w:themeColor="text1"/>
          <w:spacing w:val="-2"/>
          <w:kern w:val="0"/>
          <w:sz w:val="28"/>
          <w:szCs w:val="28"/>
          <w:lang w:val="pt-BR"/>
          <w14:ligatures w14:val="none"/>
        </w:rPr>
        <w:t xml:space="preserve">- </w:t>
      </w:r>
      <w:r w:rsidR="00A02C0F" w:rsidRPr="00E47209">
        <w:rPr>
          <w:rFonts w:ascii="Times New Roman" w:eastAsia="Calibri" w:hAnsi="Times New Roman" w:cs="Times New Roman"/>
          <w:bCs/>
          <w:color w:val="000000" w:themeColor="text1"/>
          <w:spacing w:val="-2"/>
          <w:kern w:val="0"/>
          <w:sz w:val="28"/>
          <w:szCs w:val="28"/>
          <w:lang w:val="pt-BR"/>
          <w14:ligatures w14:val="none"/>
        </w:rPr>
        <w:t>Mức phụ cấp được thiết kế theo hướng phân tầng phù hợp với trình độ đào tạo: người có trình độ cao hơn được hưởng mức khuyến khích cao hơn, nhưng vẫn bảo đảm trong khả năng cân đối ngân sách địa phương. Cụ thể</w:t>
      </w:r>
      <w:r w:rsidR="0010180B" w:rsidRPr="00E47209">
        <w:rPr>
          <w:rFonts w:ascii="Times New Roman" w:eastAsia="Calibri" w:hAnsi="Times New Roman" w:cs="Times New Roman"/>
          <w:bCs/>
          <w:color w:val="000000" w:themeColor="text1"/>
          <w:spacing w:val="-2"/>
          <w:kern w:val="0"/>
          <w:sz w:val="28"/>
          <w:szCs w:val="28"/>
          <w:lang w:val="pt-BR"/>
          <w14:ligatures w14:val="none"/>
        </w:rPr>
        <w:t>:</w:t>
      </w:r>
      <w:r w:rsidR="00A02C0F" w:rsidRPr="00E47209">
        <w:rPr>
          <w:rFonts w:ascii="Times New Roman" w:eastAsia="Calibri" w:hAnsi="Times New Roman" w:cs="Times New Roman"/>
          <w:bCs/>
          <w:color w:val="000000" w:themeColor="text1"/>
          <w:spacing w:val="-2"/>
          <w:kern w:val="0"/>
          <w:sz w:val="28"/>
          <w:szCs w:val="28"/>
          <w:lang w:val="pt-BR"/>
          <w14:ligatures w14:val="none"/>
        </w:rPr>
        <w:t xml:space="preserve"> trình độ đại học trở lên hưởng hệ số 0,2 lần mức lương cơ sở; trình độ cao đẳng hưởng hệ số 0</w:t>
      </w:r>
      <w:r w:rsidR="0010180B" w:rsidRPr="00E47209">
        <w:rPr>
          <w:rFonts w:ascii="Times New Roman" w:eastAsia="Calibri" w:hAnsi="Times New Roman" w:cs="Times New Roman"/>
          <w:bCs/>
          <w:color w:val="000000" w:themeColor="text1"/>
          <w:spacing w:val="-2"/>
          <w:kern w:val="0"/>
          <w:sz w:val="28"/>
          <w:szCs w:val="28"/>
          <w:lang w:val="pt-BR"/>
          <w14:ligatures w14:val="none"/>
        </w:rPr>
        <w:t>,15</w:t>
      </w:r>
      <w:r w:rsidR="00A02C0F" w:rsidRPr="00E47209">
        <w:rPr>
          <w:rFonts w:ascii="Times New Roman" w:eastAsia="Calibri" w:hAnsi="Times New Roman" w:cs="Times New Roman"/>
          <w:bCs/>
          <w:color w:val="000000" w:themeColor="text1"/>
          <w:spacing w:val="-2"/>
          <w:kern w:val="0"/>
          <w:sz w:val="28"/>
          <w:szCs w:val="28"/>
          <w:lang w:val="pt-BR"/>
          <w14:ligatures w14:val="none"/>
        </w:rPr>
        <w:t xml:space="preserve"> lần mức lương cơ sở; trình độ trung cấp hưởng hệ số 0,1 lần mức lương cơ sở.</w:t>
      </w:r>
    </w:p>
    <w:p w14:paraId="1C5988A3" w14:textId="23025806" w:rsidR="00A02C0F" w:rsidRPr="00E47209" w:rsidRDefault="00E2072B"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A02C0F" w:rsidRPr="00E47209">
        <w:rPr>
          <w:rFonts w:ascii="Times New Roman" w:eastAsia="Calibri" w:hAnsi="Times New Roman" w:cs="Times New Roman"/>
          <w:bCs/>
          <w:color w:val="000000" w:themeColor="text1"/>
          <w:kern w:val="0"/>
          <w:sz w:val="28"/>
          <w:szCs w:val="28"/>
          <w:lang w:val="pt-BR"/>
          <w14:ligatures w14:val="none"/>
        </w:rPr>
        <w:t>Dự thảo không áp dụng phụ cấp theo trình độ đào tạo đối với người đang hưởng lương, hưởng lương hưu hoặc trợ cấp mất sức lao động, nhằm tập trung chính sách hỗ trợ cho nhóm trực tiếp tham gia hoạt động ở cơ sở nhưng chưa có nguồn thu nhập ổn định từ ngân sách hoặc chế độ an sinh khác; qua đó bảo đảm công bằng, hợp lý và phù hợp với khả năng cân đối nguồn lực của địa phương.</w:t>
      </w:r>
    </w:p>
    <w:p w14:paraId="0BE3CA8C" w14:textId="114AE4DD" w:rsidR="00B57759" w:rsidRPr="00E47209" w:rsidRDefault="00A02C0F" w:rsidP="00A32423">
      <w:pPr>
        <w:widowControl w:val="0"/>
        <w:spacing w:before="10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t xml:space="preserve">3.3. </w:t>
      </w:r>
      <w:r w:rsidR="002E64E8" w:rsidRPr="00E47209">
        <w:rPr>
          <w:rFonts w:ascii="Times New Roman" w:eastAsia="Calibri" w:hAnsi="Times New Roman" w:cs="Times New Roman"/>
          <w:b/>
          <w:i/>
          <w:iCs/>
          <w:color w:val="000000" w:themeColor="text1"/>
          <w:kern w:val="0"/>
          <w:sz w:val="28"/>
          <w:szCs w:val="28"/>
          <w:lang w:val="pt-BR"/>
          <w14:ligatures w14:val="none"/>
        </w:rPr>
        <w:t>Quy định số lượng, chức danh và</w:t>
      </w:r>
      <w:r w:rsidRPr="00E47209">
        <w:rPr>
          <w:rFonts w:ascii="Times New Roman" w:eastAsia="Calibri" w:hAnsi="Times New Roman" w:cs="Times New Roman"/>
          <w:b/>
          <w:i/>
          <w:iCs/>
          <w:color w:val="000000" w:themeColor="text1"/>
          <w:kern w:val="0"/>
          <w:sz w:val="28"/>
          <w:szCs w:val="28"/>
          <w:lang w:val="pt-BR"/>
          <w14:ligatures w14:val="none"/>
        </w:rPr>
        <w:t xml:space="preserve"> mức hỗ trợ đối với người tham gia hoạt động ở thôn, tổ dân phố</w:t>
      </w:r>
    </w:p>
    <w:p w14:paraId="79F2935E" w14:textId="1CC4C35D" w:rsidR="00B57759" w:rsidRPr="00E47209" w:rsidRDefault="00B57759"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Bold" w:eastAsia="Calibri" w:hAnsi="Times New Roman Bold" w:cs="Times New Roman"/>
          <w:b/>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 xml:space="preserve">Dự thảo quy định các chức danh tham gia hoạt động ở thôn, tổ dân phố gồm: Phó Trưởng thôn hoặc Phó Tổ trưởng tổ dân phố; Nhân viên khuyến nông, khuyến lâm, thú y, môi trường </w:t>
      </w:r>
      <w:r w:rsidR="00E2072B" w:rsidRPr="00E47209">
        <w:rPr>
          <w:rFonts w:ascii="Times New Roman" w:eastAsia="Calibri" w:hAnsi="Times New Roman" w:cs="Times New Roman"/>
          <w:bCs/>
          <w:color w:val="000000" w:themeColor="text1"/>
          <w:kern w:val="0"/>
          <w:sz w:val="28"/>
          <w:szCs w:val="28"/>
          <w:lang w:val="pt-BR"/>
          <w14:ligatures w14:val="none"/>
        </w:rPr>
        <w:t>(</w:t>
      </w:r>
      <w:r w:rsidRPr="00E47209">
        <w:rPr>
          <w:rFonts w:ascii="Times New Roman" w:eastAsia="Calibri" w:hAnsi="Times New Roman" w:cs="Times New Roman"/>
          <w:bCs/>
          <w:color w:val="000000" w:themeColor="text1"/>
          <w:kern w:val="0"/>
          <w:sz w:val="28"/>
          <w:szCs w:val="28"/>
          <w:lang w:val="pt-BR"/>
          <w14:ligatures w14:val="none"/>
        </w:rPr>
        <w:t>bố trí ở thôn</w:t>
      </w:r>
      <w:r w:rsidR="00E2072B" w:rsidRPr="00E47209">
        <w:rPr>
          <w:rFonts w:ascii="Times New Roman" w:eastAsia="Calibri" w:hAnsi="Times New Roman" w:cs="Times New Roman"/>
          <w:bCs/>
          <w:color w:val="000000" w:themeColor="text1"/>
          <w:kern w:val="0"/>
          <w:sz w:val="28"/>
          <w:szCs w:val="28"/>
          <w:lang w:val="pt-BR"/>
          <w14:ligatures w14:val="none"/>
        </w:rPr>
        <w:t>)</w:t>
      </w:r>
      <w:r w:rsidRPr="00E47209">
        <w:rPr>
          <w:rFonts w:ascii="Times New Roman" w:eastAsia="Calibri" w:hAnsi="Times New Roman" w:cs="Times New Roman"/>
          <w:bCs/>
          <w:color w:val="000000" w:themeColor="text1"/>
          <w:kern w:val="0"/>
          <w:sz w:val="28"/>
          <w:szCs w:val="28"/>
          <w:lang w:val="pt-BR"/>
          <w14:ligatures w14:val="none"/>
        </w:rPr>
        <w:t xml:space="preserve">; Chi hội trưởng Chi hội Cựu chiến binh, Chi hội Phụ nữ, Chi hội Người cao tuổi, Chi hội Nông dân và Bí thư Chi đoàn Thanh niên Cộng sản Hồ Chí Minh. </w:t>
      </w:r>
      <w:r w:rsidR="007147E8" w:rsidRPr="00E47209">
        <w:rPr>
          <w:rFonts w:ascii="Times New Roman" w:eastAsia="Calibri" w:hAnsi="Times New Roman" w:cs="Times New Roman"/>
          <w:bCs/>
          <w:color w:val="000000" w:themeColor="text1"/>
          <w:kern w:val="0"/>
          <w:sz w:val="28"/>
          <w:szCs w:val="28"/>
          <w:lang w:val="pt-BR"/>
          <w14:ligatures w14:val="none"/>
        </w:rPr>
        <w:t>C</w:t>
      </w:r>
      <w:r w:rsidRPr="00E47209">
        <w:rPr>
          <w:rFonts w:ascii="Times New Roman" w:eastAsia="Calibri" w:hAnsi="Times New Roman" w:cs="Times New Roman"/>
          <w:bCs/>
          <w:color w:val="000000" w:themeColor="text1"/>
          <w:kern w:val="0"/>
          <w:sz w:val="28"/>
          <w:szCs w:val="28"/>
          <w:lang w:val="pt-BR"/>
          <w14:ligatures w14:val="none"/>
        </w:rPr>
        <w:t xml:space="preserve">ác chức danh </w:t>
      </w:r>
      <w:r w:rsidR="007147E8" w:rsidRPr="00E47209">
        <w:rPr>
          <w:rFonts w:ascii="Times New Roman" w:eastAsia="Calibri" w:hAnsi="Times New Roman" w:cs="Times New Roman"/>
          <w:bCs/>
          <w:color w:val="000000" w:themeColor="text1"/>
          <w:kern w:val="0"/>
          <w:sz w:val="28"/>
          <w:szCs w:val="28"/>
          <w:lang w:val="pt-BR"/>
          <w14:ligatures w14:val="none"/>
        </w:rPr>
        <w:t xml:space="preserve">nêu trên </w:t>
      </w:r>
      <w:r w:rsidRPr="00E47209">
        <w:rPr>
          <w:rFonts w:ascii="Times New Roman" w:eastAsia="Calibri" w:hAnsi="Times New Roman" w:cs="Times New Roman"/>
          <w:bCs/>
          <w:color w:val="000000" w:themeColor="text1"/>
          <w:kern w:val="0"/>
          <w:sz w:val="28"/>
          <w:szCs w:val="28"/>
          <w:lang w:val="pt-BR"/>
          <w14:ligatures w14:val="none"/>
        </w:rPr>
        <w:t>đã được bố trí, sử dụng ổn định trong thực tiễn, trực tiếp hỗ trợ thôn, tổ dân phố trong quản lý địa bàn, phát triển sản xuất, bảo vệ môi trường, tuyên truyền, vận động Nhân dân và duy trì hoạt động của các chi hội, chi đoàn ở cơ sở.</w:t>
      </w:r>
    </w:p>
    <w:p w14:paraId="23B11B20" w14:textId="65EB0999" w:rsidR="007C0556" w:rsidRPr="00E47209" w:rsidRDefault="00E2072B"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7C0556" w:rsidRPr="00E47209">
        <w:rPr>
          <w:rFonts w:ascii="Times New Roman" w:eastAsia="Calibri" w:hAnsi="Times New Roman" w:cs="Times New Roman"/>
          <w:bCs/>
          <w:color w:val="000000" w:themeColor="text1"/>
          <w:kern w:val="0"/>
          <w:sz w:val="28"/>
          <w:szCs w:val="28"/>
          <w:lang w:val="pt-BR"/>
          <w14:ligatures w14:val="none"/>
        </w:rPr>
        <w:t>Ngày 30/5/2026, Chính phủ ban hành Nghị định số 192/2026/NĐ-CP quy định một số chế độ phụ cấp đặc thù trong lĩnh vực y tế, hỗ trợ hằng tháng đối với nhân viên y tế thôn, tổ dân phố và cô đỡ thôn, bản. Theo đó, Chính phủ đã quy định cụ thể đối tượng, mức hỗ trợ hằng tháng, nguyên tắc chi trả, nguồn kinh phí và trách nhiệm tổ chức thực hiện đối với nhân viên y tế thôn, tổ dân phố.</w:t>
      </w:r>
      <w:r w:rsidR="00396FC9" w:rsidRPr="00E47209">
        <w:rPr>
          <w:rFonts w:ascii="Times New Roman" w:eastAsia="Calibri" w:hAnsi="Times New Roman" w:cs="Times New Roman"/>
          <w:bCs/>
          <w:color w:val="000000" w:themeColor="text1"/>
          <w:kern w:val="0"/>
          <w:sz w:val="28"/>
          <w:szCs w:val="28"/>
          <w:lang w:val="pt-BR"/>
          <w14:ligatures w14:val="none"/>
        </w:rPr>
        <w:t xml:space="preserve"> </w:t>
      </w:r>
      <w:r w:rsidR="007C0556" w:rsidRPr="00E47209">
        <w:rPr>
          <w:rFonts w:ascii="Times New Roman" w:eastAsia="Calibri" w:hAnsi="Times New Roman" w:cs="Times New Roman"/>
          <w:bCs/>
          <w:color w:val="000000" w:themeColor="text1"/>
          <w:kern w:val="0"/>
          <w:sz w:val="28"/>
          <w:szCs w:val="28"/>
          <w:lang w:val="pt-BR"/>
          <w14:ligatures w14:val="none"/>
        </w:rPr>
        <w:t>Do đó, dự thảo Nghị quyết không tiếp tục quy định chức danh nhân viên y tế thôn, tổ dân phố trong nhóm người tham gia hoạt động ở thôn, tổ dân phố. Việc không quy định nội dung này nhằm bảo đảm đúng thẩm quyền, tránh trùng lặp chính sách, tránh phát sinh cách hiểu một chức danh được hưởng đồng thời nhiều chế độ hỗ trợ từ các văn bản khác nhau; đồng thời bảo đảm sự thống nhất, đồng bộ với chính sách tại Nghị định số 192/2026/NĐ-CP.</w:t>
      </w:r>
    </w:p>
    <w:p w14:paraId="5C6A6541" w14:textId="55751083" w:rsidR="007C0556" w:rsidRPr="00E47209" w:rsidRDefault="007C0556"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Việc tách chức danh nhân viên y tế thôn, tổ dân phố ra khỏi phạm vi điều chỉnh của dự thảo Nghị quyết không làm mất chính sách đối với lực lượng này, </w:t>
      </w:r>
      <w:r w:rsidRPr="00E47209">
        <w:rPr>
          <w:rFonts w:ascii="Times New Roman" w:eastAsia="Calibri" w:hAnsi="Times New Roman" w:cs="Times New Roman"/>
          <w:bCs/>
          <w:color w:val="000000" w:themeColor="text1"/>
          <w:kern w:val="0"/>
          <w:sz w:val="28"/>
          <w:szCs w:val="28"/>
          <w:lang w:val="pt-BR"/>
          <w14:ligatures w14:val="none"/>
        </w:rPr>
        <w:lastRenderedPageBreak/>
        <w:t>mà chuyển sang thực hiện theo chính sách chuyên ngành thống nhất của Chính phủ, phù hợp với nguyên tắc xây dựng văn bản quy phạm pháp luật; đồng thời, bảo đảm thuận lợi cho việc quản lý, chi trả, quyết toán kinh phí và tổ chức thực hiện tại cơ sở.</w:t>
      </w:r>
    </w:p>
    <w:p w14:paraId="4358E181" w14:textId="5F97C0D3" w:rsidR="007C0556" w:rsidRPr="00E47209" w:rsidRDefault="007C0556"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Để bảo đảm chính sách không bị gián đoạn trong giai đoạn chuyển tiếp, dự thảo Nghị quyết đã xây dựng nội dung theo hướng: các quy định hiện hành của Hội đồng nhân dân tỉnh Tuyên Quang và Hội đồng nhân dân tỉnh Hà Giang trước hợp nhất về chức danh, mức phụ cấp, mức hỗ trợ hằng tháng và phụ cấp kiêm nhiệm đối với nhân viên y tế thôn, tổ dân phố tiếp tục được áp dụng đến hết ngày 14/7/2026. Từ ngày 15/7/2026, chế độ hỗ trợ hằng tháng đối với nhân viên y tế thôn, tổ dân phố thực hiện thống nhất theo Nghị định số 192/2026/NĐ-CP và các văn bản quy định chi tiết, hướng dẫn thi hành.</w:t>
      </w:r>
    </w:p>
    <w:p w14:paraId="6F89D1DC" w14:textId="42972A18" w:rsidR="007147E8" w:rsidRPr="00E47209" w:rsidRDefault="007147E8"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B57759" w:rsidRPr="00E47209">
        <w:rPr>
          <w:rFonts w:ascii="Times New Roman" w:eastAsia="Calibri" w:hAnsi="Times New Roman" w:cs="Times New Roman"/>
          <w:bCs/>
          <w:color w:val="000000" w:themeColor="text1"/>
          <w:kern w:val="0"/>
          <w:sz w:val="28"/>
          <w:szCs w:val="28"/>
          <w:lang w:val="pt-BR"/>
          <w14:ligatures w14:val="none"/>
        </w:rPr>
        <w:t>Dự thảo quy định mức hỗ trợ theo 02 nhóm địa bàn: (1) thôn, tổ dân phố có yếu tố đặc thù; (2) thôn, tổ dân phố còn lại</w:t>
      </w:r>
      <w:r w:rsidRPr="00E47209">
        <w:rPr>
          <w:rFonts w:ascii="Times New Roman" w:eastAsia="Calibri" w:hAnsi="Times New Roman" w:cs="Times New Roman"/>
          <w:bCs/>
          <w:color w:val="000000" w:themeColor="text1"/>
          <w:kern w:val="0"/>
          <w:sz w:val="28"/>
          <w:szCs w:val="28"/>
          <w:lang w:val="pt-BR"/>
          <w14:ligatures w14:val="none"/>
        </w:rPr>
        <w:t xml:space="preserve">, </w:t>
      </w:r>
      <w:r w:rsidR="00B57759" w:rsidRPr="00E47209">
        <w:rPr>
          <w:rFonts w:ascii="Times New Roman" w:eastAsia="Calibri" w:hAnsi="Times New Roman" w:cs="Times New Roman"/>
          <w:bCs/>
          <w:color w:val="000000" w:themeColor="text1"/>
          <w:kern w:val="0"/>
          <w:sz w:val="28"/>
          <w:szCs w:val="28"/>
          <w:lang w:val="pt-BR"/>
          <w14:ligatures w14:val="none"/>
        </w:rPr>
        <w:t xml:space="preserve">nhằm phân hóa chính sách phù hợp với quy mô, tính chất địa bàn, khối lượng công việc và yêu cầu nhiệm vụ. Đối với địa bàn đông dân, trọng điểm về quốc phòng, khu vực biên giới, </w:t>
      </w:r>
      <w:r w:rsidR="00460A0A" w:rsidRPr="00E47209">
        <w:rPr>
          <w:rFonts w:ascii="Times New Roman" w:eastAsia="Calibri" w:hAnsi="Times New Roman" w:cs="Times New Roman"/>
          <w:bCs/>
          <w:color w:val="000000" w:themeColor="text1"/>
          <w:kern w:val="0"/>
          <w:sz w:val="28"/>
          <w:szCs w:val="28"/>
          <w:lang w:val="pt-BR"/>
          <w14:ligatures w14:val="none"/>
        </w:rPr>
        <w:t>chức danh Phó Trưởng thôn (</w:t>
      </w:r>
      <w:r w:rsidR="00460A0A" w:rsidRPr="00E47209">
        <w:rPr>
          <w:rFonts w:ascii="Times New Roman" w:hAnsi="Times New Roman" w:cs="Times New Roman"/>
          <w:iCs/>
          <w:color w:val="000000" w:themeColor="text1"/>
          <w:sz w:val="28"/>
          <w:szCs w:val="28"/>
        </w:rPr>
        <w:t xml:space="preserve">Phó Tổ trưởng tổ dân phố) </w:t>
      </w:r>
      <w:r w:rsidR="00B57759" w:rsidRPr="00E47209">
        <w:rPr>
          <w:rFonts w:ascii="Times New Roman" w:eastAsia="Calibri" w:hAnsi="Times New Roman" w:cs="Times New Roman"/>
          <w:bCs/>
          <w:color w:val="000000" w:themeColor="text1"/>
          <w:spacing w:val="8"/>
          <w:kern w:val="0"/>
          <w:sz w:val="28"/>
          <w:szCs w:val="28"/>
          <w:lang w:val="pt-BR"/>
          <w14:ligatures w14:val="none"/>
        </w:rPr>
        <w:t>được quy định mức hỗ trợ cao hơn do yêu cầu phối hợp quản lý, phục vụ Nhân</w:t>
      </w:r>
      <w:r w:rsidR="00B57759" w:rsidRPr="00E47209">
        <w:rPr>
          <w:rFonts w:ascii="Times New Roman" w:eastAsia="Calibri" w:hAnsi="Times New Roman" w:cs="Times New Roman"/>
          <w:bCs/>
          <w:color w:val="000000" w:themeColor="text1"/>
          <w:kern w:val="0"/>
          <w:sz w:val="28"/>
          <w:szCs w:val="28"/>
          <w:lang w:val="pt-BR"/>
          <w14:ligatures w14:val="none"/>
        </w:rPr>
        <w:t xml:space="preserve"> dân và xử lý công việc phát sinh lớn hơn. Đối với các thôn, tổ dân phố còn lại, mức hỗ trợ kế thừa mức cao nhất đang áp dụng giữa hai tỉnh trước hợp nhất, bảo đảm ổn định chính sách và phù hợp khả năng cân đối ngân sách địa phương.</w:t>
      </w:r>
      <w:r w:rsidRPr="00E47209">
        <w:rPr>
          <w:rFonts w:ascii="Times New Roman" w:eastAsia="Calibri" w:hAnsi="Times New Roman" w:cs="Times New Roman"/>
          <w:bCs/>
          <w:color w:val="000000" w:themeColor="text1"/>
          <w:kern w:val="0"/>
          <w:sz w:val="28"/>
          <w:szCs w:val="28"/>
          <w:lang w:val="pt-BR"/>
          <w14:ligatures w14:val="none"/>
        </w:rPr>
        <w:t xml:space="preserve"> </w:t>
      </w:r>
      <w:r w:rsidR="00B57759" w:rsidRPr="00E47209">
        <w:rPr>
          <w:rFonts w:ascii="Times New Roman" w:eastAsia="Calibri" w:hAnsi="Times New Roman" w:cs="Times New Roman"/>
          <w:bCs/>
          <w:color w:val="000000" w:themeColor="text1"/>
          <w:kern w:val="0"/>
          <w:sz w:val="28"/>
          <w:szCs w:val="28"/>
          <w:lang w:val="pt-BR"/>
          <w14:ligatures w14:val="none"/>
        </w:rPr>
        <w:t>Cụ thể</w:t>
      </w:r>
      <w:r w:rsidRPr="00E47209">
        <w:rPr>
          <w:rFonts w:ascii="Times New Roman" w:eastAsia="Calibri" w:hAnsi="Times New Roman" w:cs="Times New Roman"/>
          <w:bCs/>
          <w:color w:val="000000" w:themeColor="text1"/>
          <w:kern w:val="0"/>
          <w:sz w:val="28"/>
          <w:szCs w:val="28"/>
          <w:lang w:val="pt-BR"/>
          <w14:ligatures w14:val="none"/>
        </w:rPr>
        <w:t>:</w:t>
      </w:r>
    </w:p>
    <w:p w14:paraId="48E15BD1" w14:textId="42C17A2A" w:rsidR="009D0618" w:rsidRPr="00E47209" w:rsidRDefault="009D0618"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Nhân viên khuyến nông, khuyến lâm, thú y, môi trường bố trí ở thôn được hỗ trợ mức 0,</w:t>
      </w:r>
      <w:r w:rsidR="00923E9A" w:rsidRPr="00E47209">
        <w:rPr>
          <w:rFonts w:ascii="Times New Roman" w:eastAsia="Calibri" w:hAnsi="Times New Roman" w:cs="Times New Roman"/>
          <w:bCs/>
          <w:color w:val="000000" w:themeColor="text1"/>
          <w:kern w:val="0"/>
          <w:sz w:val="28"/>
          <w:szCs w:val="28"/>
          <w:lang w:val="pt-BR"/>
          <w14:ligatures w14:val="none"/>
        </w:rPr>
        <w:t>5</w:t>
      </w:r>
      <w:r w:rsidRPr="00E47209">
        <w:rPr>
          <w:rFonts w:ascii="Times New Roman" w:eastAsia="Calibri" w:hAnsi="Times New Roman" w:cs="Times New Roman"/>
          <w:bCs/>
          <w:color w:val="000000" w:themeColor="text1"/>
          <w:kern w:val="0"/>
          <w:sz w:val="28"/>
          <w:szCs w:val="28"/>
          <w:lang w:val="pt-BR"/>
          <w14:ligatures w14:val="none"/>
        </w:rPr>
        <w:t xml:space="preserve"> lần mức lương cơ sở.</w:t>
      </w:r>
    </w:p>
    <w:p w14:paraId="0ED8FA75" w14:textId="7ED185E4" w:rsidR="00423DFC" w:rsidRPr="00E47209" w:rsidRDefault="00423DFC" w:rsidP="00A32423">
      <w:pPr>
        <w:widowControl w:val="0"/>
        <w:spacing w:before="100" w:line="240" w:lineRule="auto"/>
        <w:rPr>
          <w:rFonts w:ascii="Times New Roman" w:eastAsia="Calibri" w:hAnsi="Times New Roman" w:cs="Times New Roman"/>
          <w:bCs/>
          <w:color w:val="000000" w:themeColor="text1"/>
          <w:kern w:val="0"/>
          <w:sz w:val="28"/>
          <w:szCs w:val="28"/>
          <w:lang w:val="vi-VN"/>
          <w14:ligatures w14:val="none"/>
        </w:rPr>
      </w:pPr>
      <w:r w:rsidRPr="00E47209">
        <w:rPr>
          <w:rFonts w:ascii="Times New Roman" w:eastAsia="Calibri" w:hAnsi="Times New Roman" w:cs="Times New Roman"/>
          <w:bCs/>
          <w:color w:val="000000" w:themeColor="text1"/>
          <w:kern w:val="0"/>
          <w:sz w:val="28"/>
          <w:szCs w:val="28"/>
          <w:lang w:val="pt-BR"/>
          <w14:ligatures w14:val="none"/>
        </w:rPr>
        <w:t>- Phó Trưởng thôn hoặc Phó Tổ trưởng tổ dân phố được hỗ trợ mức 0,3 lần mức lương cơ sở tại địa bàn có yếu tố đặc thù và 0,25 lần mức lương cơ sở tại địa bàn còn lại</w:t>
      </w:r>
      <w:r w:rsidRPr="00E47209">
        <w:rPr>
          <w:rFonts w:ascii="Times New Roman" w:eastAsia="Calibri" w:hAnsi="Times New Roman" w:cs="Times New Roman"/>
          <w:bCs/>
          <w:color w:val="000000" w:themeColor="text1"/>
          <w:kern w:val="0"/>
          <w:sz w:val="28"/>
          <w:szCs w:val="28"/>
          <w:lang w:val="vi-VN"/>
          <w14:ligatures w14:val="none"/>
        </w:rPr>
        <w:t>.</w:t>
      </w:r>
    </w:p>
    <w:p w14:paraId="2ED298DF" w14:textId="35351AAB" w:rsidR="007147E8" w:rsidRPr="00E47209" w:rsidRDefault="007147E8"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B57759" w:rsidRPr="00E47209">
        <w:rPr>
          <w:rFonts w:ascii="Times New Roman" w:eastAsia="Calibri" w:hAnsi="Times New Roman" w:cs="Times New Roman"/>
          <w:bCs/>
          <w:color w:val="000000" w:themeColor="text1"/>
          <w:kern w:val="0"/>
          <w:sz w:val="28"/>
          <w:szCs w:val="28"/>
          <w:lang w:val="pt-BR"/>
          <w14:ligatures w14:val="none"/>
        </w:rPr>
        <w:t>Đối với các chức danh Chi hội trưởng Chi hội Cựu chiến binh, Chi hội Phụ nữ, Chi hội Người cao tuổi, Chi hội Nông dân và Bí thư Chi đoàn Thanh niên Cộng sản Hồ Chí Minh, dự thảo quy định mức hỗ 0,25 lần mức lương cơ sở</w:t>
      </w:r>
      <w:r w:rsidRPr="00E47209">
        <w:rPr>
          <w:rFonts w:ascii="Times New Roman" w:eastAsia="Calibri" w:hAnsi="Times New Roman" w:cs="Times New Roman"/>
          <w:bCs/>
          <w:color w:val="000000" w:themeColor="text1"/>
          <w:kern w:val="0"/>
          <w:sz w:val="28"/>
          <w:szCs w:val="28"/>
          <w:lang w:val="pt-BR"/>
          <w14:ligatures w14:val="none"/>
        </w:rPr>
        <w:t>.</w:t>
      </w:r>
    </w:p>
    <w:p w14:paraId="1C5C1708" w14:textId="0B99A2EB" w:rsidR="007825C0" w:rsidRPr="00E47209" w:rsidRDefault="007825C0" w:rsidP="00A32423">
      <w:pPr>
        <w:widowControl w:val="0"/>
        <w:spacing w:before="10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t>3.4. Quy định về kiêm nhiệm chức danh và mức phụ cấp</w:t>
      </w:r>
      <w:r w:rsidR="00FA260D" w:rsidRPr="00E47209">
        <w:rPr>
          <w:rFonts w:ascii="Times New Roman" w:eastAsia="Calibri" w:hAnsi="Times New Roman" w:cs="Times New Roman"/>
          <w:b/>
          <w:i/>
          <w:iCs/>
          <w:color w:val="000000" w:themeColor="text1"/>
          <w:kern w:val="0"/>
          <w:sz w:val="28"/>
          <w:szCs w:val="28"/>
          <w:lang w:val="pt-BR"/>
          <w14:ligatures w14:val="none"/>
        </w:rPr>
        <w:t xml:space="preserve">, mức hỗ trợ </w:t>
      </w:r>
      <w:r w:rsidRPr="00E47209">
        <w:rPr>
          <w:rFonts w:ascii="Times New Roman" w:eastAsia="Calibri" w:hAnsi="Times New Roman" w:cs="Times New Roman"/>
          <w:b/>
          <w:i/>
          <w:iCs/>
          <w:color w:val="000000" w:themeColor="text1"/>
          <w:kern w:val="0"/>
          <w:sz w:val="28"/>
          <w:szCs w:val="28"/>
          <w:lang w:val="pt-BR"/>
          <w14:ligatures w14:val="none"/>
        </w:rPr>
        <w:t>kiêm nhiệm</w:t>
      </w:r>
    </w:p>
    <w:p w14:paraId="768DE576" w14:textId="0B26BC42" w:rsidR="00AE0A2C" w:rsidRPr="00E47209" w:rsidRDefault="007825C0"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Dự thảo Nghị quyết quy định người hoạt động không chuyên trách ở thôn, tổ dân phố được kiêm nhiệm một chức danh người hoạt động không chuyên trách </w:t>
      </w:r>
      <w:r w:rsidR="00E52426" w:rsidRPr="00E47209">
        <w:rPr>
          <w:rFonts w:ascii="Times New Roman" w:eastAsia="Calibri" w:hAnsi="Times New Roman" w:cs="Times New Roman"/>
          <w:bCs/>
          <w:color w:val="000000" w:themeColor="text1"/>
          <w:kern w:val="0"/>
          <w:sz w:val="28"/>
          <w:szCs w:val="28"/>
          <w:lang w:val="pt-BR"/>
          <w14:ligatures w14:val="none"/>
        </w:rPr>
        <w:t xml:space="preserve">khác </w:t>
      </w:r>
      <w:r w:rsidRPr="00E47209">
        <w:rPr>
          <w:rFonts w:ascii="Times New Roman" w:eastAsia="Calibri" w:hAnsi="Times New Roman" w:cs="Times New Roman"/>
          <w:bCs/>
          <w:color w:val="000000" w:themeColor="text1"/>
          <w:kern w:val="0"/>
          <w:sz w:val="28"/>
          <w:szCs w:val="28"/>
          <w:lang w:val="pt-BR"/>
          <w14:ligatures w14:val="none"/>
        </w:rPr>
        <w:t>ở thôn, tổ dân phố</w:t>
      </w:r>
      <w:r w:rsidR="00E52426" w:rsidRPr="00E47209">
        <w:rPr>
          <w:rFonts w:ascii="Times New Roman" w:eastAsia="Calibri" w:hAnsi="Times New Roman" w:cs="Times New Roman"/>
          <w:bCs/>
          <w:color w:val="000000" w:themeColor="text1"/>
          <w:kern w:val="0"/>
          <w:sz w:val="28"/>
          <w:szCs w:val="28"/>
          <w:lang w:val="pt-BR"/>
          <w14:ligatures w14:val="none"/>
        </w:rPr>
        <w:t xml:space="preserve"> </w:t>
      </w:r>
      <w:r w:rsidRPr="00E47209">
        <w:rPr>
          <w:rFonts w:ascii="Times New Roman" w:eastAsia="Calibri" w:hAnsi="Times New Roman" w:cs="Times New Roman"/>
          <w:bCs/>
          <w:color w:val="000000" w:themeColor="text1"/>
          <w:kern w:val="0"/>
          <w:sz w:val="28"/>
          <w:szCs w:val="28"/>
          <w:lang w:val="pt-BR"/>
          <w14:ligatures w14:val="none"/>
        </w:rPr>
        <w:t>hoặc một chức danh tham gia hoạt động ở thôn, tổ dân phố; người tham gia hoạt động ở thôn, tổ dân phố được kiêm nhiệm một chức danh tham gia hoạt động khác</w:t>
      </w:r>
      <w:r w:rsidR="00E52426" w:rsidRPr="00E47209">
        <w:rPr>
          <w:rFonts w:ascii="Times New Roman" w:eastAsia="Calibri" w:hAnsi="Times New Roman" w:cs="Times New Roman"/>
          <w:bCs/>
          <w:color w:val="000000" w:themeColor="text1"/>
          <w:kern w:val="0"/>
          <w:sz w:val="28"/>
          <w:szCs w:val="28"/>
          <w:lang w:val="pt-BR"/>
          <w14:ligatures w14:val="none"/>
        </w:rPr>
        <w:t xml:space="preserve">, nhằm </w:t>
      </w:r>
      <w:r w:rsidR="00AE0A2C" w:rsidRPr="00E47209">
        <w:rPr>
          <w:rFonts w:ascii="Times New Roman" w:eastAsia="Calibri" w:hAnsi="Times New Roman" w:cs="Times New Roman"/>
          <w:bCs/>
          <w:color w:val="000000" w:themeColor="text1"/>
          <w:kern w:val="0"/>
          <w:sz w:val="28"/>
          <w:szCs w:val="28"/>
          <w:lang w:val="pt-BR"/>
          <w14:ligatures w14:val="none"/>
        </w:rPr>
        <w:t>tạo cơ sở pháp lý cho việc bố trí kiêm nhiệm phù hợp với thực tiễn ở cơ sở, nhất là tại những nơi khó khăn về nguồn nhân lực sau sắp xếp, tổ chức lại thôn, tổ dân phố</w:t>
      </w:r>
      <w:r w:rsidR="00100517" w:rsidRPr="00E47209">
        <w:rPr>
          <w:rFonts w:ascii="Times New Roman" w:eastAsia="Calibri" w:hAnsi="Times New Roman" w:cs="Times New Roman"/>
          <w:bCs/>
          <w:color w:val="000000" w:themeColor="text1"/>
          <w:kern w:val="0"/>
          <w:sz w:val="28"/>
          <w:szCs w:val="28"/>
          <w:lang w:val="pt-BR"/>
          <w14:ligatures w14:val="none"/>
        </w:rPr>
        <w:t>; đồng thời, p</w:t>
      </w:r>
      <w:r w:rsidR="00AE0A2C" w:rsidRPr="00E47209">
        <w:rPr>
          <w:rFonts w:ascii="Times New Roman" w:eastAsia="Calibri" w:hAnsi="Times New Roman" w:cs="Times New Roman"/>
          <w:bCs/>
          <w:color w:val="000000" w:themeColor="text1"/>
          <w:kern w:val="0"/>
          <w:sz w:val="28"/>
          <w:szCs w:val="28"/>
          <w:lang w:val="pt-BR"/>
          <w14:ligatures w14:val="none"/>
        </w:rPr>
        <w:t>hát huy năng lực, kinh nghiệm, uy tín của người tham gia hoạt động ở cơ sở</w:t>
      </w:r>
      <w:r w:rsidR="00100517" w:rsidRPr="00E47209">
        <w:rPr>
          <w:rFonts w:ascii="Times New Roman" w:eastAsia="Calibri" w:hAnsi="Times New Roman" w:cs="Times New Roman"/>
          <w:bCs/>
          <w:color w:val="000000" w:themeColor="text1"/>
          <w:kern w:val="0"/>
          <w:sz w:val="28"/>
          <w:szCs w:val="28"/>
          <w:lang w:val="pt-BR"/>
          <w14:ligatures w14:val="none"/>
        </w:rPr>
        <w:t>,</w:t>
      </w:r>
      <w:r w:rsidR="00AE0A2C" w:rsidRPr="00E47209">
        <w:rPr>
          <w:rFonts w:ascii="Times New Roman" w:eastAsia="Calibri" w:hAnsi="Times New Roman" w:cs="Times New Roman"/>
          <w:bCs/>
          <w:color w:val="000000" w:themeColor="text1"/>
          <w:kern w:val="0"/>
          <w:sz w:val="28"/>
          <w:szCs w:val="28"/>
          <w:lang w:val="pt-BR"/>
          <w14:ligatures w14:val="none"/>
        </w:rPr>
        <w:t xml:space="preserve"> góp phần tinh gọn số lượng người đảm nhiệm công việc, nhưng vẫn bảo đảm các nhiệm vụ ở thôn, tổ dân phố được triển khai thường xuyên, liên tục, không bị gián đoạn.</w:t>
      </w:r>
    </w:p>
    <w:p w14:paraId="366FAF8C" w14:textId="77777777" w:rsidR="00A32423" w:rsidRPr="00E47209" w:rsidRDefault="00A32423"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p>
    <w:p w14:paraId="3CA8E3AB" w14:textId="07006D59" w:rsidR="00AE0A2C" w:rsidRPr="00E47209" w:rsidRDefault="00AE0A2C"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lastRenderedPageBreak/>
        <w:t>- Dự thảo quy định người kiêm nhiệm được hưởng 100% mức phụ cấp</w:t>
      </w:r>
      <w:r w:rsidR="005F0E0B" w:rsidRPr="00E47209">
        <w:rPr>
          <w:rFonts w:ascii="Times New Roman" w:eastAsia="Calibri" w:hAnsi="Times New Roman" w:cs="Times New Roman"/>
          <w:bCs/>
          <w:color w:val="000000" w:themeColor="text1"/>
          <w:kern w:val="0"/>
          <w:sz w:val="28"/>
          <w:szCs w:val="28"/>
          <w:lang w:val="pt-BR"/>
          <w14:ligatures w14:val="none"/>
        </w:rPr>
        <w:t xml:space="preserve"> hoặc </w:t>
      </w:r>
      <w:r w:rsidR="00272B95" w:rsidRPr="00E47209">
        <w:rPr>
          <w:rFonts w:ascii="Times New Roman" w:eastAsia="Calibri" w:hAnsi="Times New Roman" w:cs="Times New Roman"/>
          <w:bCs/>
          <w:color w:val="000000" w:themeColor="text1"/>
          <w:kern w:val="0"/>
          <w:sz w:val="28"/>
          <w:szCs w:val="28"/>
          <w:lang w:val="pt-BR"/>
          <w14:ligatures w14:val="none"/>
        </w:rPr>
        <w:t xml:space="preserve">mức </w:t>
      </w:r>
      <w:r w:rsidR="005F0E0B" w:rsidRPr="00E47209">
        <w:rPr>
          <w:rFonts w:ascii="Times New Roman" w:eastAsia="Calibri" w:hAnsi="Times New Roman" w:cs="Times New Roman"/>
          <w:bCs/>
          <w:color w:val="000000" w:themeColor="text1"/>
          <w:kern w:val="0"/>
          <w:sz w:val="28"/>
          <w:szCs w:val="28"/>
          <w:lang w:val="pt-BR"/>
          <w14:ligatures w14:val="none"/>
        </w:rPr>
        <w:t>hỗ trợ</w:t>
      </w:r>
      <w:r w:rsidRPr="00E47209">
        <w:rPr>
          <w:rFonts w:ascii="Times New Roman" w:eastAsia="Calibri" w:hAnsi="Times New Roman" w:cs="Times New Roman"/>
          <w:bCs/>
          <w:color w:val="000000" w:themeColor="text1"/>
          <w:kern w:val="0"/>
          <w:sz w:val="28"/>
          <w:szCs w:val="28"/>
          <w:lang w:val="pt-BR"/>
          <w14:ligatures w14:val="none"/>
        </w:rPr>
        <w:t xml:space="preserve"> của chức danh kiêm nhiệm. Mức hưởng này bảo đảm tương xứng với nhiệm vụ, trách nhiệm phát sinh thêm khi một người đảm nhiệm thêm chức danh; đồng thời tạo động lực để người được bố trí kiêm nhiệm thực hiện đầy đủ, hiệu quả nhiệm vụ được giao.</w:t>
      </w:r>
    </w:p>
    <w:p w14:paraId="3632DE14" w14:textId="5DDC9B87" w:rsidR="00AE0A2C" w:rsidRPr="00E47209" w:rsidRDefault="00AE0A2C" w:rsidP="00A32423">
      <w:pPr>
        <w:widowControl w:val="0"/>
        <w:spacing w:before="100" w:line="240" w:lineRule="auto"/>
        <w:rPr>
          <w:rFonts w:ascii="Times New Roman" w:eastAsia="Calibri" w:hAnsi="Times New Roman" w:cs="Times New Roman"/>
          <w:bCs/>
          <w:color w:val="000000" w:themeColor="text1"/>
          <w:spacing w:val="4"/>
          <w:kern w:val="0"/>
          <w:sz w:val="28"/>
          <w:szCs w:val="28"/>
          <w:lang w:val="pt-BR"/>
          <w14:ligatures w14:val="none"/>
        </w:rPr>
      </w:pPr>
      <w:r w:rsidRPr="00E47209">
        <w:rPr>
          <w:rFonts w:ascii="Times New Roman" w:eastAsia="Calibri" w:hAnsi="Times New Roman" w:cs="Times New Roman"/>
          <w:bCs/>
          <w:color w:val="000000" w:themeColor="text1"/>
          <w:spacing w:val="4"/>
          <w:kern w:val="0"/>
          <w:sz w:val="28"/>
          <w:szCs w:val="28"/>
          <w:lang w:val="pt-BR"/>
          <w14:ligatures w14:val="none"/>
        </w:rPr>
        <w:t>- Mức phụ cấp kiêm nhiệm không bao gồm khoản phụ cấp tăng thêm theo trình độ đào tạo nhằm bảo đảm phụ cấp theo trình độ đào tạo chỉ được tính một lần đối với cá nhân đủ điều kiện, tránh cộng hưởng nhiều lần khi kiêm nhiệm; qua đó bảo đảm công bằng, minh bạch và phù hợp với khả năng cân đối ngân sách địa phương.</w:t>
      </w:r>
    </w:p>
    <w:p w14:paraId="0404F8EE" w14:textId="600368E8" w:rsidR="005552AA" w:rsidRPr="00E47209" w:rsidRDefault="00AE0A2C" w:rsidP="00A32423">
      <w:pPr>
        <w:widowControl w:val="0"/>
        <w:spacing w:before="100" w:line="240" w:lineRule="auto"/>
        <w:rPr>
          <w:rFonts w:ascii="Times New Roman" w:eastAsia="Calibri" w:hAnsi="Times New Roman" w:cs="Times New Roman"/>
          <w:b/>
          <w:i/>
          <w:iCs/>
          <w:color w:val="000000" w:themeColor="text1"/>
          <w:kern w:val="0"/>
          <w:sz w:val="28"/>
          <w:szCs w:val="28"/>
          <w:lang w:val="pt-BR"/>
          <w14:ligatures w14:val="none"/>
        </w:rPr>
      </w:pPr>
      <w:r w:rsidRPr="00E47209">
        <w:rPr>
          <w:rFonts w:ascii="Times New Roman" w:eastAsia="Calibri" w:hAnsi="Times New Roman" w:cs="Times New Roman"/>
          <w:b/>
          <w:i/>
          <w:iCs/>
          <w:color w:val="000000" w:themeColor="text1"/>
          <w:kern w:val="0"/>
          <w:sz w:val="28"/>
          <w:szCs w:val="28"/>
          <w:lang w:val="pt-BR"/>
          <w14:ligatures w14:val="none"/>
        </w:rPr>
        <w:t xml:space="preserve">3.5. </w:t>
      </w:r>
      <w:r w:rsidR="002D7103" w:rsidRPr="00E47209">
        <w:rPr>
          <w:rFonts w:ascii="Times New Roman" w:eastAsia="Calibri" w:hAnsi="Times New Roman" w:cs="Times New Roman"/>
          <w:b/>
          <w:i/>
          <w:iCs/>
          <w:color w:val="000000" w:themeColor="text1"/>
          <w:kern w:val="0"/>
          <w:sz w:val="28"/>
          <w:szCs w:val="28"/>
          <w:lang w:val="pt-BR"/>
          <w14:ligatures w14:val="none"/>
        </w:rPr>
        <w:t>Quy định</w:t>
      </w:r>
      <w:r w:rsidR="001C2320" w:rsidRPr="00E47209">
        <w:rPr>
          <w:rFonts w:ascii="Times New Roman" w:eastAsia="Calibri" w:hAnsi="Times New Roman" w:cs="Times New Roman"/>
          <w:b/>
          <w:i/>
          <w:iCs/>
          <w:color w:val="000000" w:themeColor="text1"/>
          <w:kern w:val="0"/>
          <w:sz w:val="28"/>
          <w:szCs w:val="28"/>
          <w:lang w:val="pt-BR"/>
          <w14:ligatures w14:val="none"/>
        </w:rPr>
        <w:t xml:space="preserve"> k</w:t>
      </w:r>
      <w:r w:rsidRPr="00E47209">
        <w:rPr>
          <w:rFonts w:ascii="Times New Roman" w:eastAsia="Calibri" w:hAnsi="Times New Roman" w:cs="Times New Roman"/>
          <w:b/>
          <w:i/>
          <w:iCs/>
          <w:color w:val="000000" w:themeColor="text1"/>
          <w:kern w:val="0"/>
          <w:sz w:val="28"/>
          <w:szCs w:val="28"/>
          <w:lang w:val="pt-BR"/>
          <w14:ligatures w14:val="none"/>
        </w:rPr>
        <w:t>hoán kinh phí hoạt động ở thôn, tổ dân phố</w:t>
      </w:r>
    </w:p>
    <w:p w14:paraId="2239265F" w14:textId="37A6F4CB" w:rsidR="00E77A02" w:rsidRPr="00E47209" w:rsidRDefault="00BF2F7C"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A7596D" w:rsidRPr="00E47209">
        <w:rPr>
          <w:rFonts w:ascii="Times New Roman" w:eastAsia="Calibri" w:hAnsi="Times New Roman" w:cs="Times New Roman"/>
          <w:bCs/>
          <w:color w:val="000000" w:themeColor="text1"/>
          <w:kern w:val="0"/>
          <w:sz w:val="28"/>
          <w:szCs w:val="28"/>
          <w:lang w:val="pt-BR"/>
          <w14:ligatures w14:val="none"/>
        </w:rPr>
        <w:t>Kế thừa mức khoán kinh phí hoạt động ở thôn, tổ dân phố theo Nghị quyết số 26/2023/NQ-HĐND của Hội đồng nhân dân tỉnh Tuyên Quang trước hợp nhất (Nghị quyết số 28/2023/NQ-HĐND của tỉnh Hà Giang trước hợp nhất không quy định nội dung này), d</w:t>
      </w:r>
      <w:r w:rsidR="00E77A02" w:rsidRPr="00E47209">
        <w:rPr>
          <w:rFonts w:ascii="Times New Roman" w:eastAsia="Calibri" w:hAnsi="Times New Roman" w:cs="Times New Roman"/>
          <w:bCs/>
          <w:color w:val="000000" w:themeColor="text1"/>
          <w:kern w:val="0"/>
          <w:sz w:val="28"/>
          <w:szCs w:val="28"/>
          <w:lang w:val="pt-BR"/>
          <w14:ligatures w14:val="none"/>
        </w:rPr>
        <w:t>ự</w:t>
      </w:r>
      <w:r w:rsidRPr="00E47209">
        <w:rPr>
          <w:rFonts w:ascii="Times New Roman" w:eastAsia="Calibri" w:hAnsi="Times New Roman" w:cs="Times New Roman"/>
          <w:bCs/>
          <w:color w:val="000000" w:themeColor="text1"/>
          <w:kern w:val="0"/>
          <w:sz w:val="28"/>
          <w:szCs w:val="28"/>
          <w:lang w:val="pt-BR"/>
          <w14:ligatures w14:val="none"/>
        </w:rPr>
        <w:t xml:space="preserve"> thảo </w:t>
      </w:r>
      <w:r w:rsidR="00E77A02" w:rsidRPr="00E47209">
        <w:rPr>
          <w:rFonts w:ascii="Times New Roman" w:eastAsia="Calibri" w:hAnsi="Times New Roman" w:cs="Times New Roman"/>
          <w:bCs/>
          <w:color w:val="000000" w:themeColor="text1"/>
          <w:kern w:val="0"/>
          <w:sz w:val="28"/>
          <w:szCs w:val="28"/>
          <w:lang w:val="pt-BR"/>
          <w14:ligatures w14:val="none"/>
        </w:rPr>
        <w:t xml:space="preserve">quy định mức khoán kinh phí hoạt động ở thôn, tổ dân phố theo 02 nhóm địa bàn: (1) thôn, tổ dân phố có yếu tố đặc thù </w:t>
      </w:r>
      <w:r w:rsidR="00410770" w:rsidRPr="00E47209">
        <w:rPr>
          <w:rFonts w:ascii="Times New Roman" w:eastAsia="Calibri" w:hAnsi="Times New Roman" w:cs="Times New Roman"/>
          <w:bCs/>
          <w:color w:val="000000" w:themeColor="text1"/>
          <w:kern w:val="0"/>
          <w:sz w:val="28"/>
          <w:szCs w:val="28"/>
          <w:lang w:val="pt-BR"/>
          <w14:ligatures w14:val="none"/>
        </w:rPr>
        <w:t xml:space="preserve">là 6.600.000 đồng/năm </w:t>
      </w:r>
      <w:r w:rsidR="00E77A02" w:rsidRPr="00E47209">
        <w:rPr>
          <w:rFonts w:ascii="Times New Roman" w:eastAsia="Calibri" w:hAnsi="Times New Roman" w:cs="Times New Roman"/>
          <w:bCs/>
          <w:color w:val="000000" w:themeColor="text1"/>
          <w:kern w:val="0"/>
          <w:sz w:val="28"/>
          <w:szCs w:val="28"/>
          <w:lang w:val="pt-BR"/>
          <w14:ligatures w14:val="none"/>
        </w:rPr>
        <w:t>và (2) thôn, tổ dân phố còn lại</w:t>
      </w:r>
      <w:r w:rsidR="00410770" w:rsidRPr="00E47209">
        <w:rPr>
          <w:rFonts w:ascii="Times New Roman" w:eastAsia="Calibri" w:hAnsi="Times New Roman" w:cs="Times New Roman"/>
          <w:bCs/>
          <w:color w:val="000000" w:themeColor="text1"/>
          <w:kern w:val="0"/>
          <w:sz w:val="28"/>
          <w:szCs w:val="28"/>
          <w:lang w:val="pt-BR"/>
          <w14:ligatures w14:val="none"/>
        </w:rPr>
        <w:t xml:space="preserve"> là 6.000.000 đồng/năm. </w:t>
      </w:r>
    </w:p>
    <w:p w14:paraId="231BF1A4" w14:textId="677B03D7" w:rsidR="00A02C0F" w:rsidRPr="00E47209" w:rsidRDefault="00A7596D"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 </w:t>
      </w:r>
      <w:r w:rsidR="00E77A02" w:rsidRPr="00E47209">
        <w:rPr>
          <w:rFonts w:ascii="Times New Roman" w:eastAsia="Calibri" w:hAnsi="Times New Roman" w:cs="Times New Roman"/>
          <w:bCs/>
          <w:color w:val="000000" w:themeColor="text1"/>
          <w:kern w:val="0"/>
          <w:sz w:val="28"/>
          <w:szCs w:val="28"/>
          <w:lang w:val="pt-BR"/>
          <w14:ligatures w14:val="none"/>
        </w:rPr>
        <w:t xml:space="preserve">Việc tiếp tục kế thừa mức khoán nêu trên nhằm bảo đảm ổn định chính sách sau hợp nhất tỉnh, tạo cơ sở cho thôn, tổ dân phố có kinh phí phục vụ các hoạt động thường xuyên như hội họp, thông tin, tuyên truyền, vận động Nhân dân, tổ chức hoạt động cộng đồng và các nhiệm vụ phát sinh ở địa bàn dân cư. Đồng thời, dự thảo rà soát, điều chỉnh tiêu chí xác định nhóm địa bàn </w:t>
      </w:r>
      <w:r w:rsidR="00E77A02" w:rsidRPr="00E47209">
        <w:rPr>
          <w:rFonts w:ascii="Times New Roman" w:eastAsia="Calibri" w:hAnsi="Times New Roman" w:cs="Times New Roman"/>
          <w:bCs/>
          <w:color w:val="000000" w:themeColor="text1"/>
          <w:spacing w:val="4"/>
          <w:kern w:val="0"/>
          <w:sz w:val="28"/>
          <w:szCs w:val="28"/>
          <w:lang w:val="pt-BR"/>
          <w14:ligatures w14:val="none"/>
        </w:rPr>
        <w:t>phù hợp với Nghị định số 185/2026/NĐ-CP và đặc thù quản lý</w:t>
      </w:r>
      <w:r w:rsidR="00E77A02" w:rsidRPr="00E47209">
        <w:rPr>
          <w:rFonts w:ascii="Times New Roman" w:eastAsia="Calibri" w:hAnsi="Times New Roman" w:cs="Times New Roman"/>
          <w:bCs/>
          <w:color w:val="000000" w:themeColor="text1"/>
          <w:kern w:val="0"/>
          <w:sz w:val="28"/>
          <w:szCs w:val="28"/>
          <w:lang w:val="pt-BR"/>
          <w14:ligatures w14:val="none"/>
        </w:rPr>
        <w:t xml:space="preserve"> hiện nay, gồm: địa bàn đông dân, trọng điểm về quốc phòng và khu vực biên giới; không làm phát sinh chính sách mới lớn về ngân sách, nhưng vẫn duy trì nguồn kinh phí cần thiết để thôn, tổ dân phố tổ chức thực hiện nhiệm vụ ở cơ sở.</w:t>
      </w:r>
    </w:p>
    <w:p w14:paraId="08C063D7" w14:textId="708E3CF1" w:rsidR="003751EA" w:rsidRPr="00E47209" w:rsidRDefault="003751EA"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V. NHỮNG NỘI DUNG BỔ SUNG MỚI SO VỚI DỰ THẢO VĂN BẢN GỬI THẨM ĐỊNH (NẾU CÓ)</w:t>
      </w:r>
      <w:r w:rsidRPr="00E47209">
        <w:rPr>
          <w:rFonts w:ascii="Times New Roman" w:eastAsia="Calibri" w:hAnsi="Times New Roman" w:cs="Times New Roman"/>
          <w:bCs/>
          <w:color w:val="000000" w:themeColor="text1"/>
          <w:kern w:val="0"/>
          <w:sz w:val="28"/>
          <w:szCs w:val="28"/>
          <w:lang w:val="pt-BR"/>
          <w14:ligatures w14:val="none"/>
        </w:rPr>
        <w:t>: Không có.</w:t>
      </w:r>
    </w:p>
    <w:p w14:paraId="370678DC" w14:textId="593DBC9C" w:rsidR="003751EA" w:rsidRPr="00E47209" w:rsidRDefault="003751EA" w:rsidP="00A32423">
      <w:pPr>
        <w:widowControl w:val="0"/>
        <w:spacing w:before="100" w:line="240" w:lineRule="auto"/>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VI. DỰ KIẾN NGUỒN LỰC, ĐIỀU KIỆN BẢO ĐẢM CHO VIỆC THI HÀNH VĂN BẢN VÀ THỜI GIAN TRÌNH THÔNG QUA</w:t>
      </w:r>
      <w:r w:rsidR="00FA7F1E" w:rsidRPr="00E47209">
        <w:rPr>
          <w:rFonts w:ascii="Times New Roman" w:eastAsia="Calibri" w:hAnsi="Times New Roman" w:cs="Times New Roman"/>
          <w:b/>
          <w:color w:val="000000" w:themeColor="text1"/>
          <w:kern w:val="0"/>
          <w:sz w:val="28"/>
          <w:szCs w:val="28"/>
          <w:lang w:val="pt-BR"/>
          <w14:ligatures w14:val="none"/>
        </w:rPr>
        <w:t>/</w:t>
      </w:r>
      <w:r w:rsidRPr="00E47209">
        <w:rPr>
          <w:rFonts w:ascii="Times New Roman" w:eastAsia="Calibri" w:hAnsi="Times New Roman" w:cs="Times New Roman"/>
          <w:b/>
          <w:color w:val="000000" w:themeColor="text1"/>
          <w:kern w:val="0"/>
          <w:sz w:val="28"/>
          <w:szCs w:val="28"/>
          <w:lang w:val="pt-BR"/>
          <w14:ligatures w14:val="none"/>
        </w:rPr>
        <w:t>BAN HÀNH</w:t>
      </w:r>
    </w:p>
    <w:p w14:paraId="00B6C496" w14:textId="77777777" w:rsidR="00FA7F1E" w:rsidRPr="00E47209" w:rsidRDefault="00FA7F1E" w:rsidP="00A32423">
      <w:pPr>
        <w:widowControl w:val="0"/>
        <w:spacing w:before="100" w:line="240" w:lineRule="auto"/>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1. Dự kiến nguồn lực và điều kiện bảo đảm thi hành văn bản</w:t>
      </w:r>
    </w:p>
    <w:p w14:paraId="6BACE3D0" w14:textId="062BE612" w:rsidR="00FA7F1E" w:rsidRPr="00E47209" w:rsidRDefault="00FA7F1E"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Kinh phí thực hiện Nghị quyết do ngân sách Trung ương và ngân sách địa phương bảo đảm theo quy định của Luật Ngân sách nhà nước và các văn bản pháp luật có liên quan; được bố trí trong dự toán ngân sách hằng năm của địa phương theo phân cấp ngân sách hiện hành.</w:t>
      </w:r>
    </w:p>
    <w:p w14:paraId="13465274" w14:textId="118E0BF8" w:rsidR="00FA7F1E" w:rsidRPr="00E47209" w:rsidRDefault="00FA7F1E"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Việc tổ chức thi hành Nghị quyết được thực hiện trên cơ sở bộ máy, nhân lực hiện có của các cơ quan, đơn vị, địa phương; không làm phát sinh tổ chức bộ máy mới. Ủy ban nhân dân tỉnh chỉ đạo các sở, ngành liên quan và Ủy ban nhân dân các xã, phường tổ chức triển khai thực hiện; hướng dẫn, kiểm tra việc bố trí, quản lý, chi trả phụ cấp, hỗ trợ, phụ cấp kiêm nhiệm và khoán kinh phí hoạt động ở thôn, tổ dân phố bảo đảm đúng đối tượng, đúng mức, công khai, minh bạch và phù hợp khả năng cân đối ngân sách.</w:t>
      </w:r>
    </w:p>
    <w:p w14:paraId="293DC78F" w14:textId="3E604276" w:rsidR="00FA7F1E" w:rsidRPr="00E47209" w:rsidRDefault="00FA7F1E"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lastRenderedPageBreak/>
        <w:t>- Dự thảo Nghị quyết đã quy định rõ nguồn kinh phí thực hiện; giao Ủy ban nhân dân tỉnh tổ chức thực hiện và giao Thường trực Hội đồng nhân dân tỉnh, các Ban của Hội đồng nhân dân tỉnh, các Tổ đại biểu và đại biểu Hội đồng nhân dân tỉnh giám sát việc thực hiện Nghị quyết.</w:t>
      </w:r>
    </w:p>
    <w:p w14:paraId="03644342" w14:textId="77777777" w:rsidR="00FA7F1E" w:rsidRPr="00E47209" w:rsidRDefault="00FA7F1E" w:rsidP="00A32423">
      <w:pPr>
        <w:widowControl w:val="0"/>
        <w:spacing w:before="100" w:line="240" w:lineRule="auto"/>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2. Thời gian trình thông qua, ban hành</w:t>
      </w:r>
    </w:p>
    <w:p w14:paraId="77DB9618" w14:textId="20FC2D4F" w:rsidR="00FA7F1E" w:rsidRPr="00E47209" w:rsidRDefault="00FA7F1E"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sz w:val="28"/>
          <w:szCs w:val="28"/>
          <w:lang w:val="pt-BR"/>
          <w14:ligatures w14:val="none"/>
        </w:rPr>
        <w:t xml:space="preserve">Dự thảo Nghị quyết dự kiến trình Hội đồng nhân dân tỉnh Tuyên Quang khóa XX xem xét, thông qua tại Kỳ họp thứ …, tháng </w:t>
      </w:r>
      <w:r w:rsidR="00A36578" w:rsidRPr="00E47209">
        <w:rPr>
          <w:rFonts w:ascii="Times New Roman" w:eastAsia="Calibri" w:hAnsi="Times New Roman" w:cs="Times New Roman"/>
          <w:bCs/>
          <w:color w:val="000000" w:themeColor="text1"/>
          <w:kern w:val="0"/>
          <w:sz w:val="28"/>
          <w:szCs w:val="28"/>
          <w:lang w:val="pt-BR"/>
          <w14:ligatures w14:val="none"/>
        </w:rPr>
        <w:t>6</w:t>
      </w:r>
      <w:r w:rsidRPr="00E47209">
        <w:rPr>
          <w:rFonts w:ascii="Times New Roman" w:eastAsia="Calibri" w:hAnsi="Times New Roman" w:cs="Times New Roman"/>
          <w:bCs/>
          <w:color w:val="000000" w:themeColor="text1"/>
          <w:kern w:val="0"/>
          <w:sz w:val="28"/>
          <w:szCs w:val="28"/>
          <w:lang w:val="pt-BR"/>
          <w14:ligatures w14:val="none"/>
        </w:rPr>
        <w:t xml:space="preserve"> năm 2026.</w:t>
      </w:r>
    </w:p>
    <w:p w14:paraId="56630706" w14:textId="55F0B954" w:rsidR="003751EA" w:rsidRPr="00E47209" w:rsidRDefault="003751EA" w:rsidP="00A32423">
      <w:pPr>
        <w:widowControl w:val="0"/>
        <w:spacing w:before="100" w:line="240" w:lineRule="auto"/>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spacing w:val="4"/>
          <w:kern w:val="0"/>
          <w:sz w:val="28"/>
          <w:szCs w:val="28"/>
          <w:lang w:val="pt-BR"/>
          <w14:ligatures w14:val="none"/>
        </w:rPr>
        <w:t xml:space="preserve">Trên đây là Tờ trình về dự thảo Nghị quyết của Hội đồng nhân dân tỉnh </w:t>
      </w:r>
      <w:r w:rsidR="00D918A7" w:rsidRPr="00E47209">
        <w:rPr>
          <w:rFonts w:ascii="Times New Roman" w:eastAsia="Calibri" w:hAnsi="Times New Roman" w:cs="Times New Roman"/>
          <w:bCs/>
          <w:color w:val="000000" w:themeColor="text1"/>
          <w:spacing w:val="4"/>
          <w:kern w:val="0"/>
          <w:sz w:val="28"/>
          <w:szCs w:val="28"/>
          <w:lang w:val="pt-BR"/>
          <w14:ligatures w14:val="none"/>
        </w:rPr>
        <w:t xml:space="preserve">quy định về người hoạt động không chuyên trách, người tham gia hoạt động và </w:t>
      </w:r>
      <w:r w:rsidR="00D918A7" w:rsidRPr="00E47209">
        <w:rPr>
          <w:rFonts w:ascii="Times New Roman" w:eastAsia="Calibri" w:hAnsi="Times New Roman" w:cs="Times New Roman"/>
          <w:bCs/>
          <w:color w:val="000000" w:themeColor="text1"/>
          <w:kern w:val="0"/>
          <w:sz w:val="28"/>
          <w:szCs w:val="28"/>
          <w:lang w:val="pt-BR"/>
          <w14:ligatures w14:val="none"/>
        </w:rPr>
        <w:t>mức khoán kinh phí hoạt động ở thôn, tổ dân phố trên địa bàn tỉnh Tuyên Quang</w:t>
      </w:r>
      <w:r w:rsidRPr="00E47209">
        <w:rPr>
          <w:rFonts w:ascii="Times New Roman" w:eastAsia="Calibri" w:hAnsi="Times New Roman" w:cs="Times New Roman"/>
          <w:bCs/>
          <w:color w:val="000000" w:themeColor="text1"/>
          <w:kern w:val="0"/>
          <w:sz w:val="28"/>
          <w:szCs w:val="28"/>
          <w:lang w:val="pt-BR"/>
          <w14:ligatures w14:val="none"/>
        </w:rPr>
        <w:t>, Ủy ban nhân dân tỉnh xin kính trình Hội đồng nhân dân tỉnh xem xét, quyết định.</w:t>
      </w:r>
    </w:p>
    <w:p w14:paraId="2A2A4CD5" w14:textId="70125206" w:rsidR="003751EA" w:rsidRPr="00E47209" w:rsidRDefault="003751EA" w:rsidP="00A32423">
      <w:pPr>
        <w:widowControl w:val="0"/>
        <w:spacing w:before="100" w:line="240" w:lineRule="auto"/>
        <w:rPr>
          <w:rFonts w:ascii="Times New Roman" w:eastAsia="Calibri" w:hAnsi="Times New Roman" w:cs="Times New Roman"/>
          <w:bCs/>
          <w:i/>
          <w:iCs/>
          <w:color w:val="000000" w:themeColor="text1"/>
          <w:kern w:val="0"/>
          <w:sz w:val="28"/>
          <w:szCs w:val="28"/>
          <w:lang w:val="pt-BR"/>
          <w14:ligatures w14:val="none"/>
        </w:rPr>
      </w:pPr>
      <w:r w:rsidRPr="00E47209">
        <w:rPr>
          <w:rFonts w:ascii="Times New Roman" w:eastAsia="Calibri" w:hAnsi="Times New Roman" w:cs="Times New Roman"/>
          <w:bCs/>
          <w:i/>
          <w:iCs/>
          <w:color w:val="000000" w:themeColor="text1"/>
          <w:kern w:val="0"/>
          <w:sz w:val="28"/>
          <w:szCs w:val="28"/>
          <w:lang w:val="pt-BR"/>
          <w14:ligatures w14:val="none"/>
        </w:rPr>
        <w:t>(Xin gửi kèm theo:</w:t>
      </w:r>
    </w:p>
    <w:p w14:paraId="304CE764" w14:textId="1BF1FC46" w:rsidR="003751EA" w:rsidRPr="00E47209" w:rsidRDefault="003751EA" w:rsidP="00A32423">
      <w:pPr>
        <w:widowControl w:val="0"/>
        <w:spacing w:before="100" w:line="240" w:lineRule="auto"/>
        <w:ind w:left="710" w:firstLine="0"/>
        <w:rPr>
          <w:rFonts w:ascii="Times New Roman" w:eastAsia="Calibri" w:hAnsi="Times New Roman" w:cs="Times New Roman"/>
          <w:bCs/>
          <w:i/>
          <w:iCs/>
          <w:color w:val="000000" w:themeColor="text1"/>
          <w:kern w:val="0"/>
          <w:sz w:val="28"/>
          <w:szCs w:val="28"/>
          <w:lang w:val="pt-BR"/>
          <w14:ligatures w14:val="none"/>
        </w:rPr>
      </w:pPr>
      <w:r w:rsidRPr="00E47209">
        <w:rPr>
          <w:rFonts w:ascii="Times New Roman" w:eastAsia="Calibri" w:hAnsi="Times New Roman" w:cs="Times New Roman"/>
          <w:bCs/>
          <w:i/>
          <w:iCs/>
          <w:color w:val="000000" w:themeColor="text1"/>
          <w:kern w:val="0"/>
          <w:sz w:val="28"/>
          <w:szCs w:val="28"/>
          <w:lang w:val="pt-BR"/>
          <w14:ligatures w14:val="none"/>
        </w:rPr>
        <w:t>(1) Dự thảo nghị quyết;</w:t>
      </w:r>
    </w:p>
    <w:p w14:paraId="3EC3F748" w14:textId="7866335F" w:rsidR="003751EA" w:rsidRPr="00E47209" w:rsidRDefault="003751EA" w:rsidP="00A32423">
      <w:pPr>
        <w:widowControl w:val="0"/>
        <w:spacing w:before="100" w:line="240" w:lineRule="auto"/>
        <w:ind w:left="720" w:firstLine="0"/>
        <w:rPr>
          <w:rFonts w:ascii="Times New Roman" w:eastAsia="Calibri" w:hAnsi="Times New Roman" w:cs="Times New Roman"/>
          <w:bCs/>
          <w:i/>
          <w:iCs/>
          <w:color w:val="000000" w:themeColor="text1"/>
          <w:kern w:val="0"/>
          <w:sz w:val="28"/>
          <w:szCs w:val="28"/>
          <w:lang w:val="pt-BR"/>
          <w14:ligatures w14:val="none"/>
        </w:rPr>
      </w:pPr>
      <w:r w:rsidRPr="00E47209">
        <w:rPr>
          <w:rFonts w:ascii="Times New Roman" w:eastAsia="Calibri" w:hAnsi="Times New Roman" w:cs="Times New Roman"/>
          <w:bCs/>
          <w:i/>
          <w:iCs/>
          <w:color w:val="000000" w:themeColor="text1"/>
          <w:kern w:val="0"/>
          <w:sz w:val="28"/>
          <w:szCs w:val="28"/>
          <w:lang w:val="pt-BR"/>
          <w14:ligatures w14:val="none"/>
        </w:rPr>
        <w:t>(2) Bản so sánh, thuyết minh nội dung dự thảo;</w:t>
      </w:r>
    </w:p>
    <w:p w14:paraId="0153901C" w14:textId="5B9A3DA6" w:rsidR="003751EA" w:rsidRPr="00E47209" w:rsidRDefault="003751EA" w:rsidP="00A32423">
      <w:pPr>
        <w:widowControl w:val="0"/>
        <w:spacing w:before="100" w:line="240" w:lineRule="auto"/>
        <w:ind w:left="720" w:firstLine="0"/>
        <w:rPr>
          <w:rFonts w:ascii="Times New Roman" w:eastAsia="Calibri" w:hAnsi="Times New Roman" w:cs="Times New Roman"/>
          <w:bCs/>
          <w:i/>
          <w:iCs/>
          <w:color w:val="000000" w:themeColor="text1"/>
          <w:kern w:val="0"/>
          <w:sz w:val="28"/>
          <w:szCs w:val="28"/>
          <w:lang w:val="pt-BR"/>
          <w14:ligatures w14:val="none"/>
        </w:rPr>
      </w:pPr>
      <w:r w:rsidRPr="00E47209">
        <w:rPr>
          <w:rFonts w:ascii="Times New Roman" w:eastAsia="Calibri" w:hAnsi="Times New Roman" w:cs="Times New Roman"/>
          <w:bCs/>
          <w:i/>
          <w:iCs/>
          <w:color w:val="000000" w:themeColor="text1"/>
          <w:kern w:val="0"/>
          <w:sz w:val="28"/>
          <w:szCs w:val="28"/>
          <w:lang w:val="pt-BR"/>
          <w14:ligatures w14:val="none"/>
        </w:rPr>
        <w:t>(3)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51EA" w:rsidRPr="00E47209" w14:paraId="61D06EDB" w14:textId="77777777" w:rsidTr="006151FD">
        <w:tc>
          <w:tcPr>
            <w:tcW w:w="4531" w:type="dxa"/>
          </w:tcPr>
          <w:p w14:paraId="19CA141F" w14:textId="77777777" w:rsidR="004F4A12" w:rsidRPr="00E47209" w:rsidRDefault="004F4A12" w:rsidP="003751EA">
            <w:pPr>
              <w:widowControl w:val="0"/>
              <w:spacing w:line="240" w:lineRule="auto"/>
              <w:ind w:firstLine="0"/>
              <w:rPr>
                <w:rFonts w:ascii="Times New Roman" w:eastAsia="Calibri" w:hAnsi="Times New Roman" w:cs="Times New Roman"/>
                <w:b/>
                <w:i/>
                <w:iCs/>
                <w:color w:val="000000" w:themeColor="text1"/>
                <w:kern w:val="0"/>
                <w:sz w:val="24"/>
                <w:szCs w:val="24"/>
                <w:lang w:val="pt-BR"/>
                <w14:ligatures w14:val="none"/>
              </w:rPr>
            </w:pPr>
          </w:p>
          <w:p w14:paraId="1C3936FE" w14:textId="6388FFCC" w:rsidR="003751EA" w:rsidRPr="00E47209" w:rsidRDefault="003751EA" w:rsidP="003751EA">
            <w:pPr>
              <w:widowControl w:val="0"/>
              <w:spacing w:line="240" w:lineRule="auto"/>
              <w:ind w:firstLine="0"/>
              <w:rPr>
                <w:rFonts w:ascii="Times New Roman" w:eastAsia="Calibri" w:hAnsi="Times New Roman" w:cs="Times New Roman"/>
                <w:b/>
                <w:i/>
                <w:iCs/>
                <w:color w:val="000000" w:themeColor="text1"/>
                <w:kern w:val="0"/>
                <w:sz w:val="24"/>
                <w:szCs w:val="24"/>
                <w:lang w:val="pt-BR"/>
                <w14:ligatures w14:val="none"/>
              </w:rPr>
            </w:pPr>
            <w:r w:rsidRPr="00E47209">
              <w:rPr>
                <w:rFonts w:ascii="Times New Roman" w:eastAsia="Calibri" w:hAnsi="Times New Roman" w:cs="Times New Roman"/>
                <w:b/>
                <w:i/>
                <w:iCs/>
                <w:color w:val="000000" w:themeColor="text1"/>
                <w:kern w:val="0"/>
                <w:sz w:val="24"/>
                <w:szCs w:val="24"/>
                <w:lang w:val="pt-BR"/>
                <w14:ligatures w14:val="none"/>
              </w:rPr>
              <w:t>Nơi nhận:</w:t>
            </w:r>
          </w:p>
          <w:p w14:paraId="08F34DE0" w14:textId="77777777" w:rsidR="003751EA" w:rsidRPr="00E47209" w:rsidRDefault="003751EA"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Như trên;</w:t>
            </w:r>
          </w:p>
          <w:p w14:paraId="677E0664" w14:textId="77777777" w:rsidR="003751EA" w:rsidRPr="00E47209" w:rsidRDefault="003751EA"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Thường trực Tỉnh ủy;</w:t>
            </w:r>
          </w:p>
          <w:p w14:paraId="444035EF" w14:textId="77777777" w:rsidR="003751EA" w:rsidRPr="00E47209" w:rsidRDefault="003751EA"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xml:space="preserve">- </w:t>
            </w:r>
            <w:r w:rsidR="007B0F85" w:rsidRPr="00E47209">
              <w:rPr>
                <w:rFonts w:ascii="Times New Roman" w:eastAsia="Calibri" w:hAnsi="Times New Roman" w:cs="Times New Roman"/>
                <w:bCs/>
                <w:color w:val="000000" w:themeColor="text1"/>
                <w:kern w:val="0"/>
                <w:lang w:val="pt-BR"/>
                <w14:ligatures w14:val="none"/>
              </w:rPr>
              <w:t>Thường trực HĐND tỉnh;</w:t>
            </w:r>
          </w:p>
          <w:p w14:paraId="46E2B645" w14:textId="77777777"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Chủ tịch, Phó Chủ tịch UBND tỉnh;</w:t>
            </w:r>
          </w:p>
          <w:p w14:paraId="34160BA9" w14:textId="77777777"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Ban Tổ chức Tỉnh ủy;</w:t>
            </w:r>
          </w:p>
          <w:p w14:paraId="464D50F8" w14:textId="77777777"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Ban Pháp chế, HĐND tỉnh;</w:t>
            </w:r>
          </w:p>
          <w:p w14:paraId="7FD329BD" w14:textId="77777777"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Sở Nội vụ;</w:t>
            </w:r>
          </w:p>
          <w:p w14:paraId="38A98293" w14:textId="6545101B"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CVP, PCVP UBND tỉnh;</w:t>
            </w:r>
          </w:p>
          <w:p w14:paraId="48E1E3D8" w14:textId="77777777"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lang w:val="pt-BR"/>
                <w14:ligatures w14:val="none"/>
              </w:rPr>
            </w:pPr>
            <w:r w:rsidRPr="00E47209">
              <w:rPr>
                <w:rFonts w:ascii="Times New Roman" w:eastAsia="Calibri" w:hAnsi="Times New Roman" w:cs="Times New Roman"/>
                <w:bCs/>
                <w:color w:val="000000" w:themeColor="text1"/>
                <w:kern w:val="0"/>
                <w:lang w:val="pt-BR"/>
                <w14:ligatures w14:val="none"/>
              </w:rPr>
              <w:t>- ...</w:t>
            </w:r>
          </w:p>
          <w:p w14:paraId="3D07FCFF" w14:textId="399EC304" w:rsidR="007B0F85" w:rsidRPr="00E47209" w:rsidRDefault="007B0F85" w:rsidP="003751EA">
            <w:pPr>
              <w:widowControl w:val="0"/>
              <w:spacing w:line="240" w:lineRule="auto"/>
              <w:ind w:firstLine="0"/>
              <w:rPr>
                <w:rFonts w:ascii="Times New Roman" w:eastAsia="Calibri" w:hAnsi="Times New Roman" w:cs="Times New Roman"/>
                <w:bCs/>
                <w:color w:val="000000" w:themeColor="text1"/>
                <w:kern w:val="0"/>
                <w:sz w:val="28"/>
                <w:szCs w:val="28"/>
                <w:lang w:val="pt-BR"/>
                <w14:ligatures w14:val="none"/>
              </w:rPr>
            </w:pPr>
            <w:r w:rsidRPr="00E47209">
              <w:rPr>
                <w:rFonts w:ascii="Times New Roman" w:eastAsia="Calibri" w:hAnsi="Times New Roman" w:cs="Times New Roman"/>
                <w:bCs/>
                <w:color w:val="000000" w:themeColor="text1"/>
                <w:kern w:val="0"/>
                <w:lang w:val="pt-BR"/>
                <w14:ligatures w14:val="none"/>
              </w:rPr>
              <w:t>- Lưu: VT, NC.</w:t>
            </w:r>
          </w:p>
        </w:tc>
        <w:tc>
          <w:tcPr>
            <w:tcW w:w="4531" w:type="dxa"/>
          </w:tcPr>
          <w:p w14:paraId="6304C095" w14:textId="77777777" w:rsidR="003751EA" w:rsidRPr="00E47209" w:rsidRDefault="007B0F85" w:rsidP="007B0F85">
            <w:pPr>
              <w:widowControl w:val="0"/>
              <w:spacing w:line="240" w:lineRule="auto"/>
              <w:ind w:firstLine="0"/>
              <w:jc w:val="center"/>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TM. ỦY BAN NHÂN DÂN</w:t>
            </w:r>
          </w:p>
          <w:p w14:paraId="1FABD84E" w14:textId="77777777" w:rsidR="007B0F85" w:rsidRPr="00E47209" w:rsidRDefault="007B0F85" w:rsidP="007B0F85">
            <w:pPr>
              <w:widowControl w:val="0"/>
              <w:spacing w:line="240" w:lineRule="auto"/>
              <w:ind w:firstLine="0"/>
              <w:jc w:val="center"/>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CHỦ TỊCH</w:t>
            </w:r>
          </w:p>
          <w:p w14:paraId="79ED0064" w14:textId="77777777" w:rsidR="007B0F85" w:rsidRPr="00E47209" w:rsidRDefault="007B0F85" w:rsidP="007B0F85">
            <w:pPr>
              <w:widowControl w:val="0"/>
              <w:spacing w:line="240" w:lineRule="auto"/>
              <w:ind w:firstLine="0"/>
              <w:jc w:val="center"/>
              <w:rPr>
                <w:rFonts w:ascii="Times New Roman" w:eastAsia="Calibri" w:hAnsi="Times New Roman" w:cs="Times New Roman"/>
                <w:bCs/>
                <w:color w:val="000000" w:themeColor="text1"/>
                <w:kern w:val="0"/>
                <w:sz w:val="28"/>
                <w:szCs w:val="28"/>
                <w:lang w:val="pt-BR"/>
                <w14:ligatures w14:val="none"/>
              </w:rPr>
            </w:pPr>
          </w:p>
          <w:p w14:paraId="4D533B66" w14:textId="77777777" w:rsidR="007B0F85" w:rsidRPr="00E47209" w:rsidRDefault="007B0F85" w:rsidP="007B0F85">
            <w:pPr>
              <w:widowControl w:val="0"/>
              <w:spacing w:line="240" w:lineRule="auto"/>
              <w:ind w:firstLine="0"/>
              <w:jc w:val="center"/>
              <w:rPr>
                <w:rFonts w:ascii="Times New Roman" w:eastAsia="Calibri" w:hAnsi="Times New Roman" w:cs="Times New Roman"/>
                <w:bCs/>
                <w:color w:val="000000" w:themeColor="text1"/>
                <w:kern w:val="0"/>
                <w:sz w:val="28"/>
                <w:szCs w:val="28"/>
                <w:lang w:val="pt-BR"/>
                <w14:ligatures w14:val="none"/>
              </w:rPr>
            </w:pPr>
          </w:p>
          <w:p w14:paraId="524FCDDA" w14:textId="77777777" w:rsidR="007B0F85" w:rsidRPr="00E47209" w:rsidRDefault="007B0F85" w:rsidP="007B0F85">
            <w:pPr>
              <w:widowControl w:val="0"/>
              <w:spacing w:line="240" w:lineRule="auto"/>
              <w:ind w:firstLine="0"/>
              <w:jc w:val="center"/>
              <w:rPr>
                <w:rFonts w:ascii="Times New Roman" w:eastAsia="Calibri" w:hAnsi="Times New Roman" w:cs="Times New Roman"/>
                <w:bCs/>
                <w:color w:val="000000" w:themeColor="text1"/>
                <w:kern w:val="0"/>
                <w:sz w:val="28"/>
                <w:szCs w:val="28"/>
                <w:lang w:val="pt-BR"/>
                <w14:ligatures w14:val="none"/>
              </w:rPr>
            </w:pPr>
          </w:p>
          <w:p w14:paraId="38D26267" w14:textId="77777777" w:rsidR="007B0F85" w:rsidRPr="00E47209" w:rsidRDefault="007B0F85" w:rsidP="007B0F85">
            <w:pPr>
              <w:widowControl w:val="0"/>
              <w:spacing w:line="240" w:lineRule="auto"/>
              <w:ind w:firstLine="0"/>
              <w:jc w:val="center"/>
              <w:rPr>
                <w:rFonts w:ascii="Times New Roman" w:eastAsia="Calibri" w:hAnsi="Times New Roman" w:cs="Times New Roman"/>
                <w:bCs/>
                <w:color w:val="000000" w:themeColor="text1"/>
                <w:kern w:val="0"/>
                <w:sz w:val="28"/>
                <w:szCs w:val="28"/>
                <w:lang w:val="pt-BR"/>
                <w14:ligatures w14:val="none"/>
              </w:rPr>
            </w:pPr>
          </w:p>
          <w:p w14:paraId="61CB3B1F" w14:textId="77777777" w:rsidR="004F4A12" w:rsidRPr="00E47209" w:rsidRDefault="004F4A12" w:rsidP="007B0F85">
            <w:pPr>
              <w:widowControl w:val="0"/>
              <w:spacing w:line="240" w:lineRule="auto"/>
              <w:ind w:firstLine="0"/>
              <w:jc w:val="center"/>
              <w:rPr>
                <w:rFonts w:ascii="Times New Roman" w:eastAsia="Calibri" w:hAnsi="Times New Roman" w:cs="Times New Roman"/>
                <w:bCs/>
                <w:color w:val="000000" w:themeColor="text1"/>
                <w:kern w:val="0"/>
                <w:sz w:val="28"/>
                <w:szCs w:val="28"/>
                <w:lang w:val="pt-BR"/>
                <w14:ligatures w14:val="none"/>
              </w:rPr>
            </w:pPr>
          </w:p>
          <w:p w14:paraId="31CDEE67" w14:textId="77777777" w:rsidR="007B0F85" w:rsidRPr="00E47209" w:rsidRDefault="007B0F85" w:rsidP="007B0F85">
            <w:pPr>
              <w:widowControl w:val="0"/>
              <w:spacing w:line="240" w:lineRule="auto"/>
              <w:ind w:firstLine="0"/>
              <w:jc w:val="center"/>
              <w:rPr>
                <w:rFonts w:ascii="Times New Roman" w:eastAsia="Calibri" w:hAnsi="Times New Roman" w:cs="Times New Roman"/>
                <w:bCs/>
                <w:color w:val="000000" w:themeColor="text1"/>
                <w:kern w:val="0"/>
                <w:sz w:val="28"/>
                <w:szCs w:val="28"/>
                <w:lang w:val="pt-BR"/>
                <w14:ligatures w14:val="none"/>
              </w:rPr>
            </w:pPr>
          </w:p>
          <w:p w14:paraId="768184CC" w14:textId="1F481247" w:rsidR="007B0F85" w:rsidRPr="00E47209" w:rsidRDefault="007B0F85" w:rsidP="007B0F85">
            <w:pPr>
              <w:widowControl w:val="0"/>
              <w:spacing w:line="240" w:lineRule="auto"/>
              <w:ind w:firstLine="0"/>
              <w:jc w:val="center"/>
              <w:rPr>
                <w:rFonts w:ascii="Times New Roman" w:eastAsia="Calibri" w:hAnsi="Times New Roman" w:cs="Times New Roman"/>
                <w:b/>
                <w:color w:val="000000" w:themeColor="text1"/>
                <w:kern w:val="0"/>
                <w:sz w:val="28"/>
                <w:szCs w:val="28"/>
                <w:lang w:val="pt-BR"/>
                <w14:ligatures w14:val="none"/>
              </w:rPr>
            </w:pPr>
            <w:r w:rsidRPr="00E47209">
              <w:rPr>
                <w:rFonts w:ascii="Times New Roman" w:eastAsia="Calibri" w:hAnsi="Times New Roman" w:cs="Times New Roman"/>
                <w:b/>
                <w:color w:val="000000" w:themeColor="text1"/>
                <w:kern w:val="0"/>
                <w:sz w:val="28"/>
                <w:szCs w:val="28"/>
                <w:lang w:val="pt-BR"/>
                <w14:ligatures w14:val="none"/>
              </w:rPr>
              <w:t>Phan Huy Ngọc</w:t>
            </w:r>
          </w:p>
        </w:tc>
      </w:tr>
    </w:tbl>
    <w:p w14:paraId="04285FDB" w14:textId="77777777" w:rsidR="003751EA" w:rsidRPr="00E47209" w:rsidRDefault="003751EA" w:rsidP="003751EA">
      <w:pPr>
        <w:widowControl w:val="0"/>
        <w:spacing w:line="340" w:lineRule="exact"/>
        <w:rPr>
          <w:rFonts w:ascii="Times New Roman" w:eastAsia="Calibri" w:hAnsi="Times New Roman" w:cs="Times New Roman"/>
          <w:bCs/>
          <w:color w:val="000000" w:themeColor="text1"/>
          <w:kern w:val="0"/>
          <w:sz w:val="28"/>
          <w:szCs w:val="28"/>
          <w:lang w:val="pt-BR"/>
          <w14:ligatures w14:val="none"/>
        </w:rPr>
      </w:pPr>
    </w:p>
    <w:sectPr w:rsidR="003751EA" w:rsidRPr="00E47209" w:rsidSect="00571B99">
      <w:headerReference w:type="default" r:id="rId8"/>
      <w:pgSz w:w="11907" w:h="16840" w:code="9"/>
      <w:pgMar w:top="1134" w:right="1134" w:bottom="1134" w:left="1701" w:header="39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1BD7" w14:textId="77777777" w:rsidR="008F747A" w:rsidRDefault="008F747A" w:rsidP="00F832DB">
      <w:pPr>
        <w:spacing w:before="0" w:line="240" w:lineRule="auto"/>
      </w:pPr>
      <w:r>
        <w:separator/>
      </w:r>
    </w:p>
  </w:endnote>
  <w:endnote w:type="continuationSeparator" w:id="0">
    <w:p w14:paraId="40DD78A2" w14:textId="77777777" w:rsidR="008F747A" w:rsidRDefault="008F747A" w:rsidP="00F832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20000003" w:usb1="00000000" w:usb2="00000000"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F85E" w14:textId="77777777" w:rsidR="008F747A" w:rsidRDefault="008F747A" w:rsidP="00F832DB">
      <w:pPr>
        <w:spacing w:before="0" w:line="240" w:lineRule="auto"/>
      </w:pPr>
      <w:r>
        <w:separator/>
      </w:r>
    </w:p>
  </w:footnote>
  <w:footnote w:type="continuationSeparator" w:id="0">
    <w:p w14:paraId="70A03C3C" w14:textId="77777777" w:rsidR="008F747A" w:rsidRDefault="008F747A" w:rsidP="00F832DB">
      <w:pPr>
        <w:spacing w:before="0" w:line="240" w:lineRule="auto"/>
      </w:pPr>
      <w:r>
        <w:continuationSeparator/>
      </w:r>
    </w:p>
  </w:footnote>
  <w:footnote w:id="1">
    <w:p w14:paraId="71EED219" w14:textId="77777777" w:rsidR="00C41EC5" w:rsidRPr="00BF2F7C" w:rsidRDefault="00C41EC5" w:rsidP="00C41EC5">
      <w:pPr>
        <w:pStyle w:val="FootnoteText"/>
        <w:ind w:firstLine="720"/>
        <w:jc w:val="both"/>
        <w:rPr>
          <w:rFonts w:ascii="Times New Roman" w:hAnsi="Times New Roman"/>
        </w:rPr>
      </w:pPr>
      <w:r w:rsidRPr="00BF2F7C">
        <w:rPr>
          <w:rStyle w:val="FootnoteReference"/>
          <w:rFonts w:ascii="Times New Roman" w:hAnsi="Times New Roman"/>
        </w:rPr>
        <w:footnoteRef/>
      </w:r>
      <w:r w:rsidRPr="00BF2F7C">
        <w:rPr>
          <w:rFonts w:ascii="Times New Roman" w:hAnsi="Times New Roman"/>
        </w:rPr>
        <w:t xml:space="preserve"> Tại Văn bản số 3882/UBND-NC ngày 28/5/2026 của Ủy ban nhân dân tỉnh về việc giao tham mưu thực hiện các nội dung sắp xếp thôn, tổ dân phố.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880824607"/>
      <w:docPartObj>
        <w:docPartGallery w:val="Page Numbers (Top of Page)"/>
        <w:docPartUnique/>
      </w:docPartObj>
    </w:sdtPr>
    <w:sdtEndPr>
      <w:rPr>
        <w:noProof/>
      </w:rPr>
    </w:sdtEndPr>
    <w:sdtContent>
      <w:p w14:paraId="105F7EE9" w14:textId="6CABEA15" w:rsidR="00486E6D" w:rsidRPr="00486E6D" w:rsidRDefault="00486E6D" w:rsidP="00486E6D">
        <w:pPr>
          <w:pStyle w:val="Header"/>
          <w:ind w:firstLine="0"/>
          <w:jc w:val="center"/>
          <w:rPr>
            <w:rFonts w:ascii="Times New Roman" w:hAnsi="Times New Roman" w:cs="Times New Roman"/>
            <w:sz w:val="28"/>
            <w:szCs w:val="28"/>
          </w:rPr>
        </w:pPr>
        <w:r w:rsidRPr="00486E6D">
          <w:rPr>
            <w:rFonts w:ascii="Times New Roman" w:hAnsi="Times New Roman" w:cs="Times New Roman"/>
            <w:sz w:val="28"/>
            <w:szCs w:val="28"/>
          </w:rPr>
          <w:fldChar w:fldCharType="begin"/>
        </w:r>
        <w:r w:rsidRPr="00486E6D">
          <w:rPr>
            <w:rFonts w:ascii="Times New Roman" w:hAnsi="Times New Roman" w:cs="Times New Roman"/>
            <w:sz w:val="28"/>
            <w:szCs w:val="28"/>
          </w:rPr>
          <w:instrText xml:space="preserve"> PAGE   \* MERGEFORMAT </w:instrText>
        </w:r>
        <w:r w:rsidRPr="00486E6D">
          <w:rPr>
            <w:rFonts w:ascii="Times New Roman" w:hAnsi="Times New Roman" w:cs="Times New Roman"/>
            <w:sz w:val="28"/>
            <w:szCs w:val="28"/>
          </w:rPr>
          <w:fldChar w:fldCharType="separate"/>
        </w:r>
        <w:r w:rsidRPr="00486E6D">
          <w:rPr>
            <w:rFonts w:ascii="Times New Roman" w:hAnsi="Times New Roman" w:cs="Times New Roman"/>
            <w:noProof/>
            <w:sz w:val="28"/>
            <w:szCs w:val="28"/>
          </w:rPr>
          <w:t>2</w:t>
        </w:r>
        <w:r w:rsidRPr="00486E6D">
          <w:rPr>
            <w:rFonts w:ascii="Times New Roman" w:hAnsi="Times New Roman" w:cs="Times New Roman"/>
            <w:noProof/>
            <w:sz w:val="28"/>
            <w:szCs w:val="28"/>
          </w:rPr>
          <w:fldChar w:fldCharType="end"/>
        </w:r>
      </w:p>
    </w:sdtContent>
  </w:sdt>
  <w:p w14:paraId="4BE046F9" w14:textId="77777777" w:rsidR="00486E6D" w:rsidRPr="00486E6D" w:rsidRDefault="00486E6D" w:rsidP="00486E6D">
    <w:pPr>
      <w:pStyle w:val="Header"/>
      <w:ind w:firstLine="0"/>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4425"/>
    <w:multiLevelType w:val="hybridMultilevel"/>
    <w:tmpl w:val="90A6DBBE"/>
    <w:lvl w:ilvl="0" w:tplc="A344E014">
      <w:start w:val="1"/>
      <w:numFmt w:val="decimal"/>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779C73FA"/>
    <w:multiLevelType w:val="hybridMultilevel"/>
    <w:tmpl w:val="DC180D32"/>
    <w:lvl w:ilvl="0" w:tplc="60A86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76883642">
    <w:abstractNumId w:val="1"/>
  </w:num>
  <w:num w:numId="2" w16cid:durableId="17170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1A"/>
    <w:rsid w:val="00002BD3"/>
    <w:rsid w:val="00032BD1"/>
    <w:rsid w:val="00033A79"/>
    <w:rsid w:val="000423CE"/>
    <w:rsid w:val="00042451"/>
    <w:rsid w:val="0004413C"/>
    <w:rsid w:val="00046011"/>
    <w:rsid w:val="000501BA"/>
    <w:rsid w:val="00051B42"/>
    <w:rsid w:val="000A6F35"/>
    <w:rsid w:val="000A74DD"/>
    <w:rsid w:val="000A768F"/>
    <w:rsid w:val="000B01F7"/>
    <w:rsid w:val="000B725D"/>
    <w:rsid w:val="000B73BE"/>
    <w:rsid w:val="000C0593"/>
    <w:rsid w:val="000C2B39"/>
    <w:rsid w:val="000D1D9F"/>
    <w:rsid w:val="000F20FC"/>
    <w:rsid w:val="000F3846"/>
    <w:rsid w:val="000F5488"/>
    <w:rsid w:val="00100517"/>
    <w:rsid w:val="00100BCE"/>
    <w:rsid w:val="0010180B"/>
    <w:rsid w:val="00106B47"/>
    <w:rsid w:val="00116AA6"/>
    <w:rsid w:val="0011768F"/>
    <w:rsid w:val="0012504F"/>
    <w:rsid w:val="0012703A"/>
    <w:rsid w:val="00127139"/>
    <w:rsid w:val="00127A2D"/>
    <w:rsid w:val="00132824"/>
    <w:rsid w:val="00134A0A"/>
    <w:rsid w:val="00136CB0"/>
    <w:rsid w:val="001476A1"/>
    <w:rsid w:val="001520E2"/>
    <w:rsid w:val="00156911"/>
    <w:rsid w:val="001647B2"/>
    <w:rsid w:val="00165A3D"/>
    <w:rsid w:val="00165C51"/>
    <w:rsid w:val="00171C7E"/>
    <w:rsid w:val="00173768"/>
    <w:rsid w:val="00173FDC"/>
    <w:rsid w:val="001760A0"/>
    <w:rsid w:val="00180ED7"/>
    <w:rsid w:val="001900B9"/>
    <w:rsid w:val="00193DF4"/>
    <w:rsid w:val="001B1FDD"/>
    <w:rsid w:val="001C2320"/>
    <w:rsid w:val="001E0B81"/>
    <w:rsid w:val="001E544F"/>
    <w:rsid w:val="001E5869"/>
    <w:rsid w:val="00213106"/>
    <w:rsid w:val="002176DE"/>
    <w:rsid w:val="00230348"/>
    <w:rsid w:val="00244AC3"/>
    <w:rsid w:val="00266648"/>
    <w:rsid w:val="002678F6"/>
    <w:rsid w:val="00272B95"/>
    <w:rsid w:val="00294CAA"/>
    <w:rsid w:val="0029589B"/>
    <w:rsid w:val="002A05A9"/>
    <w:rsid w:val="002A274D"/>
    <w:rsid w:val="002A5BF3"/>
    <w:rsid w:val="002A62CC"/>
    <w:rsid w:val="002A7331"/>
    <w:rsid w:val="002B1141"/>
    <w:rsid w:val="002C331A"/>
    <w:rsid w:val="002D0142"/>
    <w:rsid w:val="002D7103"/>
    <w:rsid w:val="002E289B"/>
    <w:rsid w:val="002E2D7F"/>
    <w:rsid w:val="002E64E8"/>
    <w:rsid w:val="002E68C8"/>
    <w:rsid w:val="002E780D"/>
    <w:rsid w:val="00303087"/>
    <w:rsid w:val="0030638B"/>
    <w:rsid w:val="00324127"/>
    <w:rsid w:val="00340EBE"/>
    <w:rsid w:val="00345C51"/>
    <w:rsid w:val="00350971"/>
    <w:rsid w:val="0036299F"/>
    <w:rsid w:val="00372B1B"/>
    <w:rsid w:val="003751EA"/>
    <w:rsid w:val="00375C93"/>
    <w:rsid w:val="00381A2F"/>
    <w:rsid w:val="00383278"/>
    <w:rsid w:val="00394231"/>
    <w:rsid w:val="00396FC9"/>
    <w:rsid w:val="003A699A"/>
    <w:rsid w:val="003B3133"/>
    <w:rsid w:val="003B57D3"/>
    <w:rsid w:val="003B59AB"/>
    <w:rsid w:val="003B5A78"/>
    <w:rsid w:val="003E14E7"/>
    <w:rsid w:val="003E226A"/>
    <w:rsid w:val="003E2BA2"/>
    <w:rsid w:val="003E3641"/>
    <w:rsid w:val="003F4955"/>
    <w:rsid w:val="004010A1"/>
    <w:rsid w:val="00402273"/>
    <w:rsid w:val="00403429"/>
    <w:rsid w:val="00410770"/>
    <w:rsid w:val="004214D6"/>
    <w:rsid w:val="00423DFC"/>
    <w:rsid w:val="00443582"/>
    <w:rsid w:val="004458A2"/>
    <w:rsid w:val="004521DB"/>
    <w:rsid w:val="00460A0A"/>
    <w:rsid w:val="004647F8"/>
    <w:rsid w:val="00464AE1"/>
    <w:rsid w:val="00472A2B"/>
    <w:rsid w:val="0047446B"/>
    <w:rsid w:val="004821F8"/>
    <w:rsid w:val="00486E6D"/>
    <w:rsid w:val="00490BB1"/>
    <w:rsid w:val="004A09F0"/>
    <w:rsid w:val="004B4271"/>
    <w:rsid w:val="004C0779"/>
    <w:rsid w:val="004C3B7E"/>
    <w:rsid w:val="004D2496"/>
    <w:rsid w:val="004E289F"/>
    <w:rsid w:val="004E4891"/>
    <w:rsid w:val="004F4A12"/>
    <w:rsid w:val="004F50EA"/>
    <w:rsid w:val="004F6B43"/>
    <w:rsid w:val="005051E7"/>
    <w:rsid w:val="00510712"/>
    <w:rsid w:val="00510A50"/>
    <w:rsid w:val="00510E56"/>
    <w:rsid w:val="00512340"/>
    <w:rsid w:val="00516938"/>
    <w:rsid w:val="0052646A"/>
    <w:rsid w:val="00527073"/>
    <w:rsid w:val="00531F7F"/>
    <w:rsid w:val="00552546"/>
    <w:rsid w:val="005552AA"/>
    <w:rsid w:val="0055647B"/>
    <w:rsid w:val="00571B99"/>
    <w:rsid w:val="00580E42"/>
    <w:rsid w:val="005912BF"/>
    <w:rsid w:val="0059273B"/>
    <w:rsid w:val="005A1D65"/>
    <w:rsid w:val="005B4B55"/>
    <w:rsid w:val="005C3B65"/>
    <w:rsid w:val="005D08B6"/>
    <w:rsid w:val="005E158F"/>
    <w:rsid w:val="005E3624"/>
    <w:rsid w:val="005E3CA8"/>
    <w:rsid w:val="005E425B"/>
    <w:rsid w:val="005F0E08"/>
    <w:rsid w:val="005F0E0B"/>
    <w:rsid w:val="005F5329"/>
    <w:rsid w:val="006003DF"/>
    <w:rsid w:val="00600C32"/>
    <w:rsid w:val="00614F29"/>
    <w:rsid w:val="006151FD"/>
    <w:rsid w:val="00623427"/>
    <w:rsid w:val="00634826"/>
    <w:rsid w:val="006352DB"/>
    <w:rsid w:val="0065752D"/>
    <w:rsid w:val="006661C4"/>
    <w:rsid w:val="00666937"/>
    <w:rsid w:val="00683790"/>
    <w:rsid w:val="006867D5"/>
    <w:rsid w:val="006877BB"/>
    <w:rsid w:val="006927A7"/>
    <w:rsid w:val="00692CB4"/>
    <w:rsid w:val="006A117A"/>
    <w:rsid w:val="006A289B"/>
    <w:rsid w:val="006A7468"/>
    <w:rsid w:val="006B0F7B"/>
    <w:rsid w:val="006B31D9"/>
    <w:rsid w:val="006B401A"/>
    <w:rsid w:val="006B7104"/>
    <w:rsid w:val="006B797D"/>
    <w:rsid w:val="006D04AE"/>
    <w:rsid w:val="006D3233"/>
    <w:rsid w:val="006D38D3"/>
    <w:rsid w:val="006E19E1"/>
    <w:rsid w:val="006E6CE7"/>
    <w:rsid w:val="00703D22"/>
    <w:rsid w:val="007147E8"/>
    <w:rsid w:val="007168D6"/>
    <w:rsid w:val="00727529"/>
    <w:rsid w:val="00732E3C"/>
    <w:rsid w:val="00743318"/>
    <w:rsid w:val="0074466E"/>
    <w:rsid w:val="00761994"/>
    <w:rsid w:val="007825C0"/>
    <w:rsid w:val="00785A21"/>
    <w:rsid w:val="00792304"/>
    <w:rsid w:val="00794254"/>
    <w:rsid w:val="007A69B5"/>
    <w:rsid w:val="007A7BEA"/>
    <w:rsid w:val="007B0972"/>
    <w:rsid w:val="007B0F85"/>
    <w:rsid w:val="007B359B"/>
    <w:rsid w:val="007C0556"/>
    <w:rsid w:val="007C22BB"/>
    <w:rsid w:val="007D408F"/>
    <w:rsid w:val="007E3004"/>
    <w:rsid w:val="008111B1"/>
    <w:rsid w:val="00824AB5"/>
    <w:rsid w:val="00835771"/>
    <w:rsid w:val="00853FD3"/>
    <w:rsid w:val="00861512"/>
    <w:rsid w:val="00863E7D"/>
    <w:rsid w:val="00866225"/>
    <w:rsid w:val="00866B1E"/>
    <w:rsid w:val="008715CE"/>
    <w:rsid w:val="00882FF0"/>
    <w:rsid w:val="0088350F"/>
    <w:rsid w:val="008A07B7"/>
    <w:rsid w:val="008A1179"/>
    <w:rsid w:val="008A4037"/>
    <w:rsid w:val="008A6A9C"/>
    <w:rsid w:val="008B4F5A"/>
    <w:rsid w:val="008B7F3A"/>
    <w:rsid w:val="008C36A0"/>
    <w:rsid w:val="008D5D3B"/>
    <w:rsid w:val="008E3768"/>
    <w:rsid w:val="008E73F2"/>
    <w:rsid w:val="008E7E12"/>
    <w:rsid w:val="008F747A"/>
    <w:rsid w:val="009040C4"/>
    <w:rsid w:val="009079CC"/>
    <w:rsid w:val="00923E9A"/>
    <w:rsid w:val="00932CC5"/>
    <w:rsid w:val="009463D5"/>
    <w:rsid w:val="0095171D"/>
    <w:rsid w:val="00962008"/>
    <w:rsid w:val="00962AF3"/>
    <w:rsid w:val="00970A06"/>
    <w:rsid w:val="00972795"/>
    <w:rsid w:val="009920DD"/>
    <w:rsid w:val="00997246"/>
    <w:rsid w:val="009A264E"/>
    <w:rsid w:val="009D0100"/>
    <w:rsid w:val="009D02F3"/>
    <w:rsid w:val="009D0618"/>
    <w:rsid w:val="009F7836"/>
    <w:rsid w:val="00A01EA3"/>
    <w:rsid w:val="00A02C0F"/>
    <w:rsid w:val="00A15BE9"/>
    <w:rsid w:val="00A17F23"/>
    <w:rsid w:val="00A21EBD"/>
    <w:rsid w:val="00A253FA"/>
    <w:rsid w:val="00A32423"/>
    <w:rsid w:val="00A3277A"/>
    <w:rsid w:val="00A36578"/>
    <w:rsid w:val="00A43A0E"/>
    <w:rsid w:val="00A44747"/>
    <w:rsid w:val="00A45953"/>
    <w:rsid w:val="00A46B92"/>
    <w:rsid w:val="00A50490"/>
    <w:rsid w:val="00A533CC"/>
    <w:rsid w:val="00A577CE"/>
    <w:rsid w:val="00A62D28"/>
    <w:rsid w:val="00A71AF4"/>
    <w:rsid w:val="00A7596D"/>
    <w:rsid w:val="00A767F4"/>
    <w:rsid w:val="00A91103"/>
    <w:rsid w:val="00A966EE"/>
    <w:rsid w:val="00AA2E3D"/>
    <w:rsid w:val="00AC0F4F"/>
    <w:rsid w:val="00AC4B27"/>
    <w:rsid w:val="00AC754F"/>
    <w:rsid w:val="00AD2134"/>
    <w:rsid w:val="00AE0A2C"/>
    <w:rsid w:val="00AE3A6A"/>
    <w:rsid w:val="00B10D1F"/>
    <w:rsid w:val="00B24D53"/>
    <w:rsid w:val="00B25A1E"/>
    <w:rsid w:val="00B2612E"/>
    <w:rsid w:val="00B32D28"/>
    <w:rsid w:val="00B32F31"/>
    <w:rsid w:val="00B40BDB"/>
    <w:rsid w:val="00B57759"/>
    <w:rsid w:val="00B6538D"/>
    <w:rsid w:val="00B73A70"/>
    <w:rsid w:val="00B75614"/>
    <w:rsid w:val="00B82F0E"/>
    <w:rsid w:val="00B904A6"/>
    <w:rsid w:val="00B9603D"/>
    <w:rsid w:val="00BA38B6"/>
    <w:rsid w:val="00BA4352"/>
    <w:rsid w:val="00BB44E5"/>
    <w:rsid w:val="00BC376D"/>
    <w:rsid w:val="00BD7600"/>
    <w:rsid w:val="00BE75AC"/>
    <w:rsid w:val="00BF177D"/>
    <w:rsid w:val="00BF2F7C"/>
    <w:rsid w:val="00BF7EDD"/>
    <w:rsid w:val="00C002F9"/>
    <w:rsid w:val="00C015A2"/>
    <w:rsid w:val="00C030C6"/>
    <w:rsid w:val="00C073B5"/>
    <w:rsid w:val="00C12232"/>
    <w:rsid w:val="00C12D05"/>
    <w:rsid w:val="00C32A50"/>
    <w:rsid w:val="00C3729A"/>
    <w:rsid w:val="00C419C8"/>
    <w:rsid w:val="00C41EC5"/>
    <w:rsid w:val="00C44CE5"/>
    <w:rsid w:val="00C50338"/>
    <w:rsid w:val="00C51256"/>
    <w:rsid w:val="00C55781"/>
    <w:rsid w:val="00C67071"/>
    <w:rsid w:val="00C80D10"/>
    <w:rsid w:val="00C81EB7"/>
    <w:rsid w:val="00C86E84"/>
    <w:rsid w:val="00C92C14"/>
    <w:rsid w:val="00CA044C"/>
    <w:rsid w:val="00CA0C84"/>
    <w:rsid w:val="00CA2817"/>
    <w:rsid w:val="00CB62BB"/>
    <w:rsid w:val="00CB774D"/>
    <w:rsid w:val="00CB7DFC"/>
    <w:rsid w:val="00CC3A2D"/>
    <w:rsid w:val="00CC5FE6"/>
    <w:rsid w:val="00CD0D05"/>
    <w:rsid w:val="00CD5E84"/>
    <w:rsid w:val="00CD6007"/>
    <w:rsid w:val="00CD6CFD"/>
    <w:rsid w:val="00CD7FD8"/>
    <w:rsid w:val="00CE73A2"/>
    <w:rsid w:val="00CF4E40"/>
    <w:rsid w:val="00CF7080"/>
    <w:rsid w:val="00D0063D"/>
    <w:rsid w:val="00D129D0"/>
    <w:rsid w:val="00D12B6D"/>
    <w:rsid w:val="00D1627E"/>
    <w:rsid w:val="00D17006"/>
    <w:rsid w:val="00D17E93"/>
    <w:rsid w:val="00D35A20"/>
    <w:rsid w:val="00D46C13"/>
    <w:rsid w:val="00D4725F"/>
    <w:rsid w:val="00D47B08"/>
    <w:rsid w:val="00D5668E"/>
    <w:rsid w:val="00D63E28"/>
    <w:rsid w:val="00D775F6"/>
    <w:rsid w:val="00D87D30"/>
    <w:rsid w:val="00D918A7"/>
    <w:rsid w:val="00DA09C0"/>
    <w:rsid w:val="00DA36F4"/>
    <w:rsid w:val="00DC4DE0"/>
    <w:rsid w:val="00DC60F4"/>
    <w:rsid w:val="00DE1BFA"/>
    <w:rsid w:val="00DE3613"/>
    <w:rsid w:val="00DE42A3"/>
    <w:rsid w:val="00E018A5"/>
    <w:rsid w:val="00E13EA5"/>
    <w:rsid w:val="00E14D6D"/>
    <w:rsid w:val="00E2072B"/>
    <w:rsid w:val="00E2422E"/>
    <w:rsid w:val="00E314A0"/>
    <w:rsid w:val="00E32D39"/>
    <w:rsid w:val="00E346BE"/>
    <w:rsid w:val="00E3708F"/>
    <w:rsid w:val="00E4053D"/>
    <w:rsid w:val="00E43B3D"/>
    <w:rsid w:val="00E47209"/>
    <w:rsid w:val="00E51F09"/>
    <w:rsid w:val="00E52426"/>
    <w:rsid w:val="00E6724C"/>
    <w:rsid w:val="00E70482"/>
    <w:rsid w:val="00E75702"/>
    <w:rsid w:val="00E77A02"/>
    <w:rsid w:val="00E77B1A"/>
    <w:rsid w:val="00E9502B"/>
    <w:rsid w:val="00E96AF3"/>
    <w:rsid w:val="00EA226C"/>
    <w:rsid w:val="00EA45C2"/>
    <w:rsid w:val="00EB1719"/>
    <w:rsid w:val="00EC4513"/>
    <w:rsid w:val="00ED290D"/>
    <w:rsid w:val="00EE1D2C"/>
    <w:rsid w:val="00EF064A"/>
    <w:rsid w:val="00EF7BDF"/>
    <w:rsid w:val="00EF7EB4"/>
    <w:rsid w:val="00F038A9"/>
    <w:rsid w:val="00F132F7"/>
    <w:rsid w:val="00F15E7A"/>
    <w:rsid w:val="00F30EA6"/>
    <w:rsid w:val="00F32BA4"/>
    <w:rsid w:val="00F550A2"/>
    <w:rsid w:val="00F759FB"/>
    <w:rsid w:val="00F80F4C"/>
    <w:rsid w:val="00F832DB"/>
    <w:rsid w:val="00F90237"/>
    <w:rsid w:val="00FA260D"/>
    <w:rsid w:val="00FA7F1E"/>
    <w:rsid w:val="00FB29DD"/>
    <w:rsid w:val="00FC4589"/>
    <w:rsid w:val="00FE6B3E"/>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3941"/>
  <w15:chartTrackingRefBased/>
  <w15:docId w15:val="{7210896A-FE77-4BC1-B7E2-A2D30ACC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5D"/>
    <w:pPr>
      <w:spacing w:after="0" w:line="240" w:lineRule="exact"/>
    </w:pPr>
  </w:style>
  <w:style w:type="paragraph" w:styleId="Heading1">
    <w:name w:val="heading 1"/>
    <w:basedOn w:val="Normal"/>
    <w:next w:val="Normal"/>
    <w:link w:val="Heading1Char"/>
    <w:uiPriority w:val="9"/>
    <w:qFormat/>
    <w:rsid w:val="006B4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0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0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0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0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0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01A"/>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01A"/>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0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0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0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0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01A"/>
    <w:rPr>
      <w:rFonts w:eastAsiaTheme="majorEastAsia" w:cstheme="majorBidi"/>
      <w:color w:val="272727" w:themeColor="text1" w:themeTint="D8"/>
    </w:rPr>
  </w:style>
  <w:style w:type="paragraph" w:styleId="Title">
    <w:name w:val="Title"/>
    <w:basedOn w:val="Normal"/>
    <w:next w:val="Normal"/>
    <w:link w:val="TitleChar"/>
    <w:uiPriority w:val="10"/>
    <w:qFormat/>
    <w:rsid w:val="006B401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01A"/>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0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01A"/>
    <w:rPr>
      <w:i/>
      <w:iCs/>
      <w:color w:val="404040" w:themeColor="text1" w:themeTint="BF"/>
    </w:rPr>
  </w:style>
  <w:style w:type="paragraph" w:styleId="ListParagraph">
    <w:name w:val="List Paragraph"/>
    <w:basedOn w:val="Normal"/>
    <w:uiPriority w:val="34"/>
    <w:qFormat/>
    <w:rsid w:val="006B401A"/>
    <w:pPr>
      <w:ind w:left="720"/>
      <w:contextualSpacing/>
    </w:pPr>
  </w:style>
  <w:style w:type="character" w:styleId="IntenseEmphasis">
    <w:name w:val="Intense Emphasis"/>
    <w:basedOn w:val="DefaultParagraphFont"/>
    <w:uiPriority w:val="21"/>
    <w:qFormat/>
    <w:rsid w:val="006B401A"/>
    <w:rPr>
      <w:i/>
      <w:iCs/>
      <w:color w:val="2F5496" w:themeColor="accent1" w:themeShade="BF"/>
    </w:rPr>
  </w:style>
  <w:style w:type="paragraph" w:styleId="IntenseQuote">
    <w:name w:val="Intense Quote"/>
    <w:basedOn w:val="Normal"/>
    <w:next w:val="Normal"/>
    <w:link w:val="IntenseQuoteChar"/>
    <w:uiPriority w:val="30"/>
    <w:qFormat/>
    <w:rsid w:val="006B4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01A"/>
    <w:rPr>
      <w:i/>
      <w:iCs/>
      <w:color w:val="2F5496" w:themeColor="accent1" w:themeShade="BF"/>
    </w:rPr>
  </w:style>
  <w:style w:type="character" w:styleId="IntenseReference">
    <w:name w:val="Intense Reference"/>
    <w:basedOn w:val="DefaultParagraphFont"/>
    <w:uiPriority w:val="32"/>
    <w:qFormat/>
    <w:rsid w:val="006B401A"/>
    <w:rPr>
      <w:b/>
      <w:bCs/>
      <w:smallCaps/>
      <w:color w:val="2F5496" w:themeColor="accent1" w:themeShade="BF"/>
      <w:spacing w:val="5"/>
    </w:rPr>
  </w:style>
  <w:style w:type="table" w:styleId="TableGrid">
    <w:name w:val="Table Grid"/>
    <w:basedOn w:val="TableNormal"/>
    <w:uiPriority w:val="39"/>
    <w:rsid w:val="006B401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Footnote Text Char Char,Ch"/>
    <w:basedOn w:val="Normal"/>
    <w:link w:val="FootnoteTextChar"/>
    <w:qFormat/>
    <w:rsid w:val="00F832DB"/>
    <w:pPr>
      <w:spacing w:before="0" w:line="240" w:lineRule="auto"/>
      <w:ind w:firstLine="0"/>
      <w:jc w:val="left"/>
    </w:pPr>
    <w:rPr>
      <w:rFonts w:ascii=".VnTime" w:eastAsia="Times New Roman" w:hAnsi=".VnTime"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qFormat/>
    <w:rsid w:val="00F832DB"/>
    <w:rPr>
      <w:rFonts w:ascii=".VnTime" w:eastAsia="Times New Roman" w:hAnsi=".VnTime" w:cs="Times New Roman"/>
      <w:kern w:val="0"/>
      <w:sz w:val="20"/>
      <w:szCs w:val="20"/>
      <w14:ligatures w14:val="none"/>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f1,10 p,E FNZ,Re,R"/>
    <w:link w:val="RefChar"/>
    <w:qFormat/>
    <w:rsid w:val="00F832DB"/>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832DB"/>
    <w:pPr>
      <w:spacing w:before="0" w:after="160"/>
      <w:ind w:firstLine="0"/>
      <w:jc w:val="left"/>
    </w:pPr>
    <w:rPr>
      <w:vertAlign w:val="superscript"/>
    </w:rPr>
  </w:style>
  <w:style w:type="paragraph" w:styleId="Header">
    <w:name w:val="header"/>
    <w:basedOn w:val="Normal"/>
    <w:link w:val="HeaderChar"/>
    <w:uiPriority w:val="99"/>
    <w:unhideWhenUsed/>
    <w:rsid w:val="00486E6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86E6D"/>
  </w:style>
  <w:style w:type="paragraph" w:styleId="Footer">
    <w:name w:val="footer"/>
    <w:basedOn w:val="Normal"/>
    <w:link w:val="FooterChar"/>
    <w:uiPriority w:val="99"/>
    <w:unhideWhenUsed/>
    <w:rsid w:val="00486E6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86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3A83D-CB97-4096-8CBF-7E26434D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Ton Nguyen</cp:lastModifiedBy>
  <cp:revision>2</cp:revision>
  <dcterms:created xsi:type="dcterms:W3CDTF">2026-06-10T08:43:00Z</dcterms:created>
  <dcterms:modified xsi:type="dcterms:W3CDTF">2026-06-10T08:43:00Z</dcterms:modified>
</cp:coreProperties>
</file>