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5" w:type="dxa"/>
        <w:jc w:val="center"/>
        <w:tblLook w:val="01E0" w:firstRow="1" w:lastRow="1" w:firstColumn="1" w:lastColumn="1" w:noHBand="0" w:noVBand="0"/>
      </w:tblPr>
      <w:tblGrid>
        <w:gridCol w:w="3779"/>
        <w:gridCol w:w="6116"/>
      </w:tblGrid>
      <w:tr w:rsidR="00146EDC" w:rsidRPr="00122B30" w:rsidTr="00354F17">
        <w:trPr>
          <w:trHeight w:val="851"/>
          <w:jc w:val="center"/>
        </w:trPr>
        <w:tc>
          <w:tcPr>
            <w:tcW w:w="3779" w:type="dxa"/>
          </w:tcPr>
          <w:p w:rsidR="00146EDC" w:rsidRPr="00794D05" w:rsidRDefault="00354F17" w:rsidP="009D72F2">
            <w:pPr>
              <w:pStyle w:val="Heading1"/>
              <w:spacing w:before="120"/>
              <w:ind w:right="-181"/>
              <w:jc w:val="center"/>
              <w:rPr>
                <w:rFonts w:ascii="Times New Roman" w:hAnsi="Times New Roman"/>
                <w:b w:val="0"/>
                <w:sz w:val="28"/>
                <w:szCs w:val="28"/>
                <w:lang w:val="nl-NL"/>
              </w:rPr>
            </w:pPr>
            <w:r>
              <w:rPr>
                <w:rFonts w:ascii="Times New Roman" w:hAnsi="Times New Roman"/>
                <w:b w:val="0"/>
                <w:sz w:val="28"/>
                <w:szCs w:val="28"/>
                <w:lang w:val="nl-NL"/>
              </w:rPr>
              <w:t>UBND TỈNH TUYÊN QUANG</w:t>
            </w:r>
          </w:p>
          <w:p w:rsidR="00146EDC" w:rsidRPr="00122B30" w:rsidRDefault="00146EDC" w:rsidP="009D72F2">
            <w:pPr>
              <w:ind w:right="-181"/>
              <w:jc w:val="center"/>
              <w:rPr>
                <w:b/>
                <w:lang w:val="nl-NL" w:eastAsia="ja-JP"/>
              </w:rPr>
            </w:pPr>
            <w:r w:rsidRPr="00122B30">
              <w:rPr>
                <w:b/>
                <w:lang w:val="nl-NL" w:eastAsia="ja-JP"/>
              </w:rPr>
              <w:t>SỞ CÔNG THƯƠNG</w:t>
            </w:r>
          </w:p>
          <w:p w:rsidR="00146EDC" w:rsidRPr="00122B30" w:rsidRDefault="00146EDC" w:rsidP="009D72F2">
            <w:pPr>
              <w:spacing w:before="120"/>
              <w:jc w:val="center"/>
            </w:pPr>
            <w:r w:rsidRPr="00122B30">
              <w:rPr>
                <w:noProof/>
              </w:rPr>
              <mc:AlternateContent>
                <mc:Choice Requires="wps">
                  <w:drawing>
                    <wp:anchor distT="4294967293" distB="4294967293" distL="114300" distR="114300" simplePos="0" relativeHeight="251661312" behindDoc="0" locked="0" layoutInCell="1" allowOverlap="1">
                      <wp:simplePos x="0" y="0"/>
                      <wp:positionH relativeFrom="column">
                        <wp:posOffset>731520</wp:posOffset>
                      </wp:positionH>
                      <wp:positionV relativeFrom="paragraph">
                        <wp:posOffset>18414</wp:posOffset>
                      </wp:positionV>
                      <wp:extent cx="571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49772" id="Straight Connector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6pt,1.45pt" to="10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6Y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"/>
                  </w:pict>
                </mc:Fallback>
              </mc:AlternateContent>
            </w:r>
            <w:r w:rsidRPr="00122B30">
              <w:t>Số:          /TTr-SCT</w:t>
            </w:r>
          </w:p>
          <w:p w:rsidR="00146EDC" w:rsidRPr="00122B30" w:rsidRDefault="008E766E" w:rsidP="009D72F2">
            <w:pPr>
              <w:spacing w:before="120"/>
              <w:jc w:val="center"/>
              <w:rPr>
                <w:lang w:val="nl-NL" w:eastAsia="ja-JP"/>
              </w:rPr>
            </w:pPr>
            <w:r>
              <w:rPr>
                <w:noProof/>
              </w:rPr>
              <mc:AlternateContent>
                <mc:Choice Requires="wps">
                  <w:drawing>
                    <wp:anchor distT="0" distB="0" distL="114300" distR="114300" simplePos="0" relativeHeight="251662336" behindDoc="0" locked="0" layoutInCell="1" allowOverlap="1">
                      <wp:simplePos x="0" y="0"/>
                      <wp:positionH relativeFrom="column">
                        <wp:posOffset>347980</wp:posOffset>
                      </wp:positionH>
                      <wp:positionV relativeFrom="paragraph">
                        <wp:posOffset>30480</wp:posOffset>
                      </wp:positionV>
                      <wp:extent cx="1432560" cy="411480"/>
                      <wp:effectExtent l="0" t="0" r="15240" b="26670"/>
                      <wp:wrapNone/>
                      <wp:docPr id="4" name="Rectangle 4"/>
                      <wp:cNvGraphicFramePr/>
                      <a:graphic xmlns:a="http://schemas.openxmlformats.org/drawingml/2006/main">
                        <a:graphicData uri="http://schemas.microsoft.com/office/word/2010/wordprocessingShape">
                          <wps:wsp>
                            <wps:cNvSpPr/>
                            <wps:spPr>
                              <a:xfrm>
                                <a:off x="0" y="0"/>
                                <a:ext cx="1432560" cy="411480"/>
                              </a:xfrm>
                              <a:prstGeom prst="rect">
                                <a:avLst/>
                              </a:prstGeom>
                            </wps:spPr>
                            <wps:style>
                              <a:lnRef idx="2">
                                <a:schemeClr val="accent6"/>
                              </a:lnRef>
                              <a:fillRef idx="1">
                                <a:schemeClr val="lt1"/>
                              </a:fillRef>
                              <a:effectRef idx="0">
                                <a:schemeClr val="accent6"/>
                              </a:effectRef>
                              <a:fontRef idx="minor">
                                <a:schemeClr val="dk1"/>
                              </a:fontRef>
                            </wps:style>
                            <wps:txbx>
                              <w:txbxContent>
                                <w:p w:rsidR="008E766E" w:rsidRPr="008E766E" w:rsidRDefault="008E766E" w:rsidP="008E766E">
                                  <w:pPr>
                                    <w:jc w:val="center"/>
                                    <w:rPr>
                                      <w:b/>
                                    </w:rPr>
                                  </w:pPr>
                                  <w:r w:rsidRPr="008E766E">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27.4pt;margin-top:2.4pt;width:112.8pt;height:3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" fillcolor="white [3201]" strokecolor="#70ad47 [3209]" strokeweight="1pt">
                      <v:textbox>
                        <w:txbxContent>
                          <w:p w:rsidR="008E766E" w:rsidRPr="008E766E" w:rsidRDefault="008E766E" w:rsidP="008E766E">
                            <w:pPr>
                              <w:jc w:val="center"/>
                              <w:rPr>
                                <w:b/>
                              </w:rPr>
                            </w:pPr>
                            <w:r w:rsidRPr="008E766E">
                              <w:rPr>
                                <w:b/>
                              </w:rPr>
                              <w:t>DỰ THẢO</w:t>
                            </w:r>
                          </w:p>
                        </w:txbxContent>
                      </v:textbox>
                    </v:rect>
                  </w:pict>
                </mc:Fallback>
              </mc:AlternateContent>
            </w:r>
          </w:p>
        </w:tc>
        <w:tc>
          <w:tcPr>
            <w:tcW w:w="6116" w:type="dxa"/>
          </w:tcPr>
          <w:p w:rsidR="00146EDC" w:rsidRPr="00794D05" w:rsidRDefault="00146EDC" w:rsidP="009D72F2">
            <w:pPr>
              <w:pStyle w:val="Heading1"/>
              <w:spacing w:before="120" w:after="120"/>
              <w:ind w:right="-181"/>
              <w:jc w:val="center"/>
              <w:rPr>
                <w:rFonts w:ascii="Times New Roman" w:hAnsi="Times New Roman"/>
                <w:sz w:val="28"/>
                <w:szCs w:val="28"/>
                <w:lang w:val="nl-NL"/>
              </w:rPr>
            </w:pPr>
            <w:r w:rsidRPr="00794D05">
              <w:rPr>
                <w:rFonts w:ascii="Times New Roman" w:hAnsi="Times New Roman"/>
                <w:sz w:val="28"/>
                <w:szCs w:val="28"/>
                <w:lang w:val="nl-NL"/>
              </w:rPr>
              <w:t>CỘNG HÒA XÃ HỘI CHỦ NGHĨA VIỆT NAM</w:t>
            </w:r>
          </w:p>
          <w:p w:rsidR="00146EDC" w:rsidRPr="00794D05" w:rsidRDefault="00146EDC" w:rsidP="009D72F2">
            <w:pPr>
              <w:pStyle w:val="Heading1"/>
              <w:spacing w:before="120" w:after="120"/>
              <w:ind w:right="-181"/>
              <w:jc w:val="center"/>
              <w:rPr>
                <w:rFonts w:ascii="Times New Roman" w:hAnsi="Times New Roman"/>
                <w:sz w:val="28"/>
                <w:szCs w:val="28"/>
              </w:rPr>
            </w:pPr>
            <w:r w:rsidRPr="00794D05">
              <w:rPr>
                <w:rFonts w:ascii="Times New Roman" w:hAnsi="Times New Roman"/>
                <w:noProof/>
                <w:sz w:val="28"/>
                <w:szCs w:val="28"/>
              </w:rPr>
              <mc:AlternateContent>
                <mc:Choice Requires="wps">
                  <w:drawing>
                    <wp:anchor distT="4294967293" distB="4294967293" distL="114300" distR="114300" simplePos="0" relativeHeight="251660288" behindDoc="0" locked="0" layoutInCell="1" allowOverlap="1">
                      <wp:simplePos x="0" y="0"/>
                      <wp:positionH relativeFrom="column">
                        <wp:posOffset>800100</wp:posOffset>
                      </wp:positionH>
                      <wp:positionV relativeFrom="paragraph">
                        <wp:posOffset>234949</wp:posOffset>
                      </wp:positionV>
                      <wp:extent cx="2232025" cy="0"/>
                      <wp:effectExtent l="0" t="0" r="349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47B00"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pt,18.5pt" to="238.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"/>
                  </w:pict>
                </mc:Fallback>
              </mc:AlternateContent>
            </w:r>
            <w:r w:rsidRPr="00794D05">
              <w:rPr>
                <w:rFonts w:ascii="Times New Roman" w:hAnsi="Times New Roman"/>
                <w:sz w:val="28"/>
                <w:szCs w:val="28"/>
              </w:rPr>
              <w:t xml:space="preserve">Độc lập </w:t>
            </w:r>
            <w:r w:rsidRPr="00794D05">
              <w:rPr>
                <w:rFonts w:ascii="Times New Roman" w:hAnsi="Times New Roman"/>
                <w:b w:val="0"/>
                <w:sz w:val="28"/>
                <w:szCs w:val="28"/>
              </w:rPr>
              <w:t>-</w:t>
            </w:r>
            <w:r w:rsidRPr="00794D05">
              <w:rPr>
                <w:rFonts w:ascii="Times New Roman" w:hAnsi="Times New Roman"/>
                <w:sz w:val="28"/>
                <w:szCs w:val="28"/>
              </w:rPr>
              <w:t xml:space="preserve"> Tự do </w:t>
            </w:r>
            <w:r w:rsidRPr="00794D05">
              <w:rPr>
                <w:rFonts w:ascii="Times New Roman" w:hAnsi="Times New Roman"/>
                <w:b w:val="0"/>
                <w:sz w:val="28"/>
                <w:szCs w:val="28"/>
              </w:rPr>
              <w:t>-</w:t>
            </w:r>
            <w:r w:rsidRPr="00794D05">
              <w:rPr>
                <w:rFonts w:ascii="Times New Roman" w:hAnsi="Times New Roman"/>
                <w:sz w:val="28"/>
                <w:szCs w:val="28"/>
              </w:rPr>
              <w:t xml:space="preserve"> Hạnh phúc</w:t>
            </w:r>
          </w:p>
          <w:p w:rsidR="00146EDC" w:rsidRPr="00122B30" w:rsidRDefault="00354F17" w:rsidP="009D72F2">
            <w:pPr>
              <w:spacing w:before="120"/>
              <w:jc w:val="center"/>
            </w:pPr>
            <w:r>
              <w:rPr>
                <w:i/>
                <w:iCs/>
              </w:rPr>
              <w:t>Tuyên Quang</w:t>
            </w:r>
            <w:r w:rsidR="00146EDC" w:rsidRPr="00122B30">
              <w:rPr>
                <w:i/>
                <w:iCs/>
              </w:rPr>
              <w:t xml:space="preserve">, ngày       tháng       năm </w:t>
            </w:r>
          </w:p>
          <w:p w:rsidR="00146EDC" w:rsidRPr="00122B30" w:rsidRDefault="00146EDC" w:rsidP="009D72F2">
            <w:pPr>
              <w:rPr>
                <w:lang w:eastAsia="ja-JP"/>
              </w:rPr>
            </w:pPr>
          </w:p>
        </w:tc>
      </w:tr>
    </w:tbl>
    <w:p w:rsidR="008E766E" w:rsidRDefault="008E766E" w:rsidP="00146EDC">
      <w:pPr>
        <w:jc w:val="center"/>
        <w:rPr>
          <w:b/>
          <w:bCs/>
        </w:rPr>
      </w:pPr>
    </w:p>
    <w:p w:rsidR="008E766E" w:rsidRDefault="008E766E" w:rsidP="00146EDC">
      <w:pPr>
        <w:jc w:val="center"/>
        <w:rPr>
          <w:b/>
          <w:bCs/>
        </w:rPr>
      </w:pPr>
    </w:p>
    <w:p w:rsidR="00146EDC" w:rsidRDefault="008E766E" w:rsidP="00146EDC">
      <w:pPr>
        <w:jc w:val="center"/>
        <w:rPr>
          <w:b/>
          <w:bCs/>
        </w:rPr>
      </w:pPr>
      <w:r>
        <w:rPr>
          <w:b/>
          <w:bCs/>
        </w:rPr>
        <w:t>TỜ TRÌNH</w:t>
      </w:r>
    </w:p>
    <w:p w:rsidR="00146EDC" w:rsidRDefault="008E766E" w:rsidP="00146EDC">
      <w:pPr>
        <w:pStyle w:val="BodyText"/>
        <w:jc w:val="center"/>
        <w:rPr>
          <w:b/>
        </w:rPr>
      </w:pPr>
      <w:r>
        <w:rPr>
          <w:b/>
          <w:bCs/>
        </w:rPr>
        <w:t>Về việc đề nghị ban hàn</w:t>
      </w:r>
      <w:r w:rsidR="00624203">
        <w:rPr>
          <w:b/>
          <w:bCs/>
        </w:rPr>
        <w:t>h</w:t>
      </w:r>
      <w:r w:rsidR="00146EDC">
        <w:rPr>
          <w:b/>
          <w:bCs/>
        </w:rPr>
        <w:t xml:space="preserve"> Quyết định ban hành q</w:t>
      </w:r>
      <w:r w:rsidR="00146EDC" w:rsidRPr="00F76C50">
        <w:rPr>
          <w:b/>
        </w:rPr>
        <w:t xml:space="preserve">uy chế phối hợp ứng phó sự cố hồ chứa quặng </w:t>
      </w:r>
      <w:r w:rsidR="00146EDC" w:rsidRPr="00F76C50">
        <w:rPr>
          <w:rFonts w:hint="eastAsia"/>
          <w:b/>
        </w:rPr>
        <w:t>đ</w:t>
      </w:r>
      <w:r w:rsidR="00146EDC" w:rsidRPr="00F76C50">
        <w:rPr>
          <w:b/>
        </w:rPr>
        <w:t xml:space="preserve">uôi trong hoạt </w:t>
      </w:r>
      <w:r w:rsidR="00146EDC" w:rsidRPr="00F76C50">
        <w:rPr>
          <w:rFonts w:hint="eastAsia"/>
          <w:b/>
        </w:rPr>
        <w:t>đ</w:t>
      </w:r>
      <w:r w:rsidR="00146EDC" w:rsidRPr="00F76C50">
        <w:rPr>
          <w:b/>
        </w:rPr>
        <w:t xml:space="preserve">ộng khai thác và chế biến </w:t>
      </w:r>
    </w:p>
    <w:p w:rsidR="00146EDC" w:rsidRPr="00F76C50" w:rsidRDefault="00146EDC" w:rsidP="00146EDC">
      <w:pPr>
        <w:pStyle w:val="BodyText"/>
        <w:jc w:val="center"/>
        <w:rPr>
          <w:b/>
        </w:rPr>
      </w:pPr>
      <w:r w:rsidRPr="00F76C50">
        <w:rPr>
          <w:b/>
        </w:rPr>
        <w:t xml:space="preserve">khoáng sản trên </w:t>
      </w:r>
      <w:r w:rsidRPr="00F76C50">
        <w:rPr>
          <w:rFonts w:hint="eastAsia"/>
          <w:b/>
        </w:rPr>
        <w:t>đ</w:t>
      </w:r>
      <w:r w:rsidRPr="00F76C50">
        <w:rPr>
          <w:b/>
        </w:rPr>
        <w:t>ịa bàn tỉnh</w:t>
      </w:r>
      <w:r w:rsidR="00354F17">
        <w:rPr>
          <w:b/>
        </w:rPr>
        <w:t xml:space="preserve"> Tuyên Quang</w:t>
      </w:r>
    </w:p>
    <w:p w:rsidR="00146EDC" w:rsidRDefault="00146EDC" w:rsidP="00146EDC">
      <w:pPr>
        <w:spacing w:before="240" w:after="240"/>
      </w:pP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2271395</wp:posOffset>
                </wp:positionH>
                <wp:positionV relativeFrom="paragraph">
                  <wp:posOffset>57784</wp:posOffset>
                </wp:positionV>
                <wp:extent cx="1276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2D5D2"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85pt,4.55pt" to="279.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LFHQIAADY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"/>
            </w:pict>
          </mc:Fallback>
        </mc:AlternateContent>
      </w:r>
      <w:r>
        <w:tab/>
      </w:r>
      <w:r>
        <w:tab/>
      </w:r>
      <w:r>
        <w:tab/>
        <w:t xml:space="preserve">  Kính gử</w:t>
      </w:r>
      <w:r w:rsidR="00354F17">
        <w:t>i: Ủy ban nhân dân tỉnh Tuyên Quang</w:t>
      </w:r>
    </w:p>
    <w:p w:rsidR="008E766E" w:rsidRDefault="008E766E" w:rsidP="00624203">
      <w:pPr>
        <w:spacing w:before="120" w:after="120"/>
        <w:ind w:firstLine="567"/>
        <w:jc w:val="both"/>
      </w:pPr>
      <w:r>
        <w:t xml:space="preserve">Căn cứ Luật Ban hành văn bản quy phạm pháp luật số 64/2025/QH15 được sửa đổi, bổ sung bởi Luật số 87/2025/QH15; </w:t>
      </w:r>
    </w:p>
    <w:p w:rsidR="008E766E" w:rsidRDefault="008E766E" w:rsidP="00624203">
      <w:pPr>
        <w:spacing w:before="120" w:after="120"/>
        <w:ind w:firstLine="567"/>
        <w:jc w:val="both"/>
        <w:rPr>
          <w:lang w:val="nl-NL"/>
        </w:rPr>
      </w:pPr>
      <w:r>
        <w:t>Thực hiện Văn bản số 1482/UBND-NC ngày 10/3/2026 về việc tập trung tham mưu xử lý các văn bản quy phạm pháp luật chịu sự tác động của việc sắp xếp tổ chức bộ máy;</w:t>
      </w:r>
    </w:p>
    <w:p w:rsidR="00146EDC" w:rsidRPr="00B92D62" w:rsidRDefault="00146EDC" w:rsidP="00624203">
      <w:pPr>
        <w:spacing w:before="120" w:after="120"/>
        <w:ind w:firstLine="567"/>
        <w:jc w:val="both"/>
        <w:rPr>
          <w:lang w:val="nl-NL"/>
        </w:rPr>
      </w:pPr>
      <w:r w:rsidRPr="00B92D62">
        <w:rPr>
          <w:lang w:val="nl-NL"/>
        </w:rPr>
        <w:t>Sở Công Th</w:t>
      </w:r>
      <w:r w:rsidRPr="00B92D62">
        <w:rPr>
          <w:rFonts w:hint="eastAsia"/>
          <w:lang w:val="nl-NL"/>
        </w:rPr>
        <w:t>ươ</w:t>
      </w:r>
      <w:r w:rsidRPr="00B92D62">
        <w:rPr>
          <w:lang w:val="nl-NL"/>
        </w:rPr>
        <w:t>ng kính trình Ủy ban nhân dân tỉnh</w:t>
      </w:r>
      <w:r w:rsidR="008E766E">
        <w:rPr>
          <w:lang w:val="nl-NL"/>
        </w:rPr>
        <w:t xml:space="preserve"> d</w:t>
      </w:r>
      <w:r>
        <w:rPr>
          <w:lang w:val="nl-NL"/>
        </w:rPr>
        <w:t xml:space="preserve">ự thảo Quyết định ban hành </w:t>
      </w:r>
      <w:r w:rsidRPr="00B92D62">
        <w:rPr>
          <w:lang w:val="nl-NL"/>
        </w:rPr>
        <w:t>Quy</w:t>
      </w:r>
      <w:r>
        <w:rPr>
          <w:lang w:val="nl-NL"/>
        </w:rPr>
        <w:t xml:space="preserve"> chế phối hợp ứng phó sự cố hồ </w:t>
      </w:r>
      <w:r w:rsidRPr="00B92D62">
        <w:rPr>
          <w:lang w:val="nl-NL"/>
        </w:rPr>
        <w:t xml:space="preserve">chứa quặng </w:t>
      </w:r>
      <w:r w:rsidRPr="00B92D62">
        <w:rPr>
          <w:rFonts w:hint="eastAsia"/>
          <w:lang w:val="nl-NL"/>
        </w:rPr>
        <w:t>đ</w:t>
      </w:r>
      <w:r w:rsidRPr="00B92D62">
        <w:rPr>
          <w:lang w:val="nl-NL"/>
        </w:rPr>
        <w:t xml:space="preserve">uôi trong hoạt </w:t>
      </w:r>
      <w:r w:rsidRPr="00B92D62">
        <w:rPr>
          <w:rFonts w:hint="eastAsia"/>
          <w:lang w:val="nl-NL"/>
        </w:rPr>
        <w:t>đ</w:t>
      </w:r>
      <w:r>
        <w:rPr>
          <w:lang w:val="nl-NL"/>
        </w:rPr>
        <w:t xml:space="preserve">ộng khai thác và chế biến </w:t>
      </w:r>
      <w:r w:rsidRPr="00B92D62">
        <w:rPr>
          <w:lang w:val="nl-NL"/>
        </w:rPr>
        <w:t xml:space="preserve">khoáng sản trên </w:t>
      </w:r>
      <w:r w:rsidRPr="00B92D62">
        <w:rPr>
          <w:rFonts w:hint="eastAsia"/>
          <w:lang w:val="nl-NL"/>
        </w:rPr>
        <w:t>đ</w:t>
      </w:r>
      <w:r w:rsidR="00354F17">
        <w:rPr>
          <w:lang w:val="nl-NL"/>
        </w:rPr>
        <w:t>ịa bàn tỉnh Tuyên Quang</w:t>
      </w:r>
      <w:r>
        <w:rPr>
          <w:lang w:val="nl-NL"/>
        </w:rPr>
        <w:t xml:space="preserve"> như sau:</w:t>
      </w:r>
    </w:p>
    <w:p w:rsidR="00146EDC" w:rsidRDefault="00146EDC" w:rsidP="00624203">
      <w:pPr>
        <w:spacing w:before="120" w:after="120"/>
        <w:ind w:firstLine="567"/>
        <w:jc w:val="both"/>
        <w:rPr>
          <w:b/>
        </w:rPr>
      </w:pPr>
      <w:r w:rsidRPr="00B92D62">
        <w:rPr>
          <w:b/>
        </w:rPr>
        <w:t>I. SỰ CẦN THIẾT BAN HÀNH V</w:t>
      </w:r>
      <w:r w:rsidRPr="00B92D62">
        <w:rPr>
          <w:rFonts w:hint="eastAsia"/>
          <w:b/>
        </w:rPr>
        <w:t>Ă</w:t>
      </w:r>
      <w:r w:rsidRPr="00B92D62">
        <w:rPr>
          <w:b/>
        </w:rPr>
        <w:t>N BẢN</w:t>
      </w:r>
    </w:p>
    <w:p w:rsidR="00146EDC" w:rsidRDefault="00146EDC" w:rsidP="00624203">
      <w:pPr>
        <w:pStyle w:val="Vnbnnidung0"/>
        <w:spacing w:before="120" w:after="120" w:line="240" w:lineRule="auto"/>
        <w:ind w:firstLine="567"/>
        <w:jc w:val="both"/>
        <w:rPr>
          <w:snapToGrid w:val="0"/>
          <w:sz w:val="28"/>
          <w:szCs w:val="28"/>
          <w:lang w:val="nl-NL"/>
        </w:rPr>
      </w:pPr>
      <w:r>
        <w:rPr>
          <w:snapToGrid w:val="0"/>
          <w:sz w:val="28"/>
          <w:szCs w:val="28"/>
          <w:lang w:val="nl-NL"/>
        </w:rPr>
        <w:t>1. Cơ sở pháp lý: Thông tư 41/2020/TT-BCT ngày 30 tháng 11 năm 2020 của Bộ</w:t>
      </w:r>
      <w:r w:rsidR="00354F17">
        <w:rPr>
          <w:snapToGrid w:val="0"/>
          <w:sz w:val="28"/>
          <w:szCs w:val="28"/>
          <w:lang w:val="nl-NL"/>
        </w:rPr>
        <w:t xml:space="preserve"> Công Thương về việc</w:t>
      </w:r>
      <w:r>
        <w:rPr>
          <w:snapToGrid w:val="0"/>
          <w:sz w:val="28"/>
          <w:szCs w:val="28"/>
          <w:lang w:val="nl-NL"/>
        </w:rPr>
        <w:t xml:space="preserve"> Quy định về quản lý vận hành hồ chứa quặng đuôi trong hoạt động khai thác và chế biến khoáng sản (</w:t>
      </w:r>
      <w:r w:rsidRPr="00F76C50">
        <w:rPr>
          <w:i/>
          <w:snapToGrid w:val="0"/>
          <w:sz w:val="28"/>
          <w:szCs w:val="28"/>
          <w:lang w:val="nl-NL"/>
        </w:rPr>
        <w:t>khoản 4, Điều 19 quy định trách nhiệm của Sở Công Thương</w:t>
      </w:r>
      <w:r>
        <w:rPr>
          <w:i/>
          <w:snapToGrid w:val="0"/>
          <w:sz w:val="28"/>
          <w:szCs w:val="28"/>
          <w:lang w:val="nl-NL"/>
        </w:rPr>
        <w:t>:</w:t>
      </w:r>
      <w:r w:rsidRPr="00F76C50">
        <w:rPr>
          <w:i/>
          <w:snapToGrid w:val="0"/>
          <w:sz w:val="28"/>
          <w:szCs w:val="28"/>
          <w:lang w:val="nl-NL"/>
        </w:rPr>
        <w:t xml:space="preserve"> tham mưu xây dựng và trình Ủy ban nhân dân tỉnh, thành phố trực thuộc Trung </w:t>
      </w:r>
      <w:r w:rsidRPr="00F76C50">
        <w:rPr>
          <w:rFonts w:hint="eastAsia"/>
          <w:i/>
          <w:snapToGrid w:val="0"/>
          <w:sz w:val="28"/>
          <w:szCs w:val="28"/>
          <w:lang w:val="nl-NL"/>
        </w:rPr>
        <w:t>ươ</w:t>
      </w:r>
      <w:r w:rsidRPr="00F76C50">
        <w:rPr>
          <w:i/>
          <w:snapToGrid w:val="0"/>
          <w:sz w:val="28"/>
          <w:szCs w:val="28"/>
          <w:lang w:val="nl-NL"/>
        </w:rPr>
        <w:t xml:space="preserve">ng ban hành Quy chế phối hợp ứng phó sự cố hồ chứa quặng </w:t>
      </w:r>
      <w:r w:rsidRPr="00F76C50">
        <w:rPr>
          <w:rFonts w:hint="eastAsia"/>
          <w:i/>
          <w:snapToGrid w:val="0"/>
          <w:sz w:val="28"/>
          <w:szCs w:val="28"/>
          <w:lang w:val="nl-NL"/>
        </w:rPr>
        <w:t>đ</w:t>
      </w:r>
      <w:r w:rsidRPr="00F76C50">
        <w:rPr>
          <w:i/>
          <w:snapToGrid w:val="0"/>
          <w:sz w:val="28"/>
          <w:szCs w:val="28"/>
          <w:lang w:val="nl-NL"/>
        </w:rPr>
        <w:t xml:space="preserve">uôi trong hoạt </w:t>
      </w:r>
      <w:r w:rsidRPr="00F76C50">
        <w:rPr>
          <w:rFonts w:hint="eastAsia"/>
          <w:i/>
          <w:snapToGrid w:val="0"/>
          <w:sz w:val="28"/>
          <w:szCs w:val="28"/>
          <w:lang w:val="nl-NL"/>
        </w:rPr>
        <w:t>đ</w:t>
      </w:r>
      <w:r w:rsidRPr="00F76C50">
        <w:rPr>
          <w:i/>
          <w:snapToGrid w:val="0"/>
          <w:sz w:val="28"/>
          <w:szCs w:val="28"/>
          <w:lang w:val="nl-NL"/>
        </w:rPr>
        <w:t xml:space="preserve">ộng khai thác và chế biến khoáng sản trên </w:t>
      </w:r>
      <w:r w:rsidRPr="00F76C50">
        <w:rPr>
          <w:rFonts w:hint="eastAsia"/>
          <w:i/>
          <w:snapToGrid w:val="0"/>
          <w:sz w:val="28"/>
          <w:szCs w:val="28"/>
          <w:lang w:val="nl-NL"/>
        </w:rPr>
        <w:t>đ</w:t>
      </w:r>
      <w:r w:rsidRPr="00F76C50">
        <w:rPr>
          <w:i/>
          <w:snapToGrid w:val="0"/>
          <w:sz w:val="28"/>
          <w:szCs w:val="28"/>
          <w:lang w:val="nl-NL"/>
        </w:rPr>
        <w:t xml:space="preserve">ịa bàn tỉnh, thành phố. Quy chế này có thể tích hợp trong quy chế hoạt </w:t>
      </w:r>
      <w:r w:rsidRPr="00F76C50">
        <w:rPr>
          <w:rFonts w:hint="eastAsia"/>
          <w:i/>
          <w:snapToGrid w:val="0"/>
          <w:sz w:val="28"/>
          <w:szCs w:val="28"/>
          <w:lang w:val="nl-NL"/>
        </w:rPr>
        <w:t>đ</w:t>
      </w:r>
      <w:r w:rsidRPr="00F76C50">
        <w:rPr>
          <w:i/>
          <w:snapToGrid w:val="0"/>
          <w:sz w:val="28"/>
          <w:szCs w:val="28"/>
          <w:lang w:val="nl-NL"/>
        </w:rPr>
        <w:t xml:space="preserve">ộng của Ban Chỉ huy phòng, chống thiên tai và tìm kiếm cứu nạn của </w:t>
      </w:r>
      <w:r w:rsidRPr="00F76C50">
        <w:rPr>
          <w:rFonts w:hint="eastAsia"/>
          <w:i/>
          <w:snapToGrid w:val="0"/>
          <w:sz w:val="28"/>
          <w:szCs w:val="28"/>
          <w:lang w:val="nl-NL"/>
        </w:rPr>
        <w:t>đ</w:t>
      </w:r>
      <w:r w:rsidRPr="00F76C50">
        <w:rPr>
          <w:i/>
          <w:snapToGrid w:val="0"/>
          <w:sz w:val="28"/>
          <w:szCs w:val="28"/>
          <w:lang w:val="nl-NL"/>
        </w:rPr>
        <w:t>ịa ph</w:t>
      </w:r>
      <w:r w:rsidRPr="00F76C50">
        <w:rPr>
          <w:rFonts w:hint="eastAsia"/>
          <w:i/>
          <w:snapToGrid w:val="0"/>
          <w:sz w:val="28"/>
          <w:szCs w:val="28"/>
          <w:lang w:val="nl-NL"/>
        </w:rPr>
        <w:t>ươ</w:t>
      </w:r>
      <w:r w:rsidRPr="00F76C50">
        <w:rPr>
          <w:i/>
          <w:snapToGrid w:val="0"/>
          <w:sz w:val="28"/>
          <w:szCs w:val="28"/>
          <w:lang w:val="nl-NL"/>
        </w:rPr>
        <w:t>ng)</w:t>
      </w:r>
    </w:p>
    <w:p w:rsidR="00354F17" w:rsidRDefault="00146EDC" w:rsidP="00624203">
      <w:pPr>
        <w:pStyle w:val="Vnbnnidung0"/>
        <w:spacing w:before="120" w:after="120" w:line="240" w:lineRule="auto"/>
        <w:ind w:firstLine="567"/>
        <w:jc w:val="both"/>
        <w:rPr>
          <w:snapToGrid w:val="0"/>
          <w:sz w:val="28"/>
          <w:szCs w:val="28"/>
          <w:lang w:val="nl-NL"/>
        </w:rPr>
      </w:pPr>
      <w:r>
        <w:rPr>
          <w:snapToGrid w:val="0"/>
          <w:sz w:val="28"/>
          <w:szCs w:val="28"/>
          <w:lang w:val="nl-NL"/>
        </w:rPr>
        <w:t xml:space="preserve">2. Cơ sở thực tiễn: </w:t>
      </w:r>
      <w:r w:rsidR="008E766E" w:rsidRPr="008E766E">
        <w:rPr>
          <w:snapToGrid w:val="0"/>
          <w:sz w:val="28"/>
          <w:szCs w:val="28"/>
          <w:lang w:val="nl-NL"/>
        </w:rPr>
        <w:t xml:space="preserve">trước ngày 01 tháng 7 năm 2025 triển khai thực hiện chính quyền địa phương 02 cấp và sáp nhập tỉnh, Ủy ban nhân dân tỉnh Hà Giang (cũ) đã ban hành Quyết định số 04/2025/QĐ-UBND ngày 14 tháng 01 năm 2025 về việc ban hành Quy chế phối hợp ứng phó sự cố hồ chứa quặng đuôi trong hoạt động khai thác và chế biến khoáng sản trên địa bàn tỉnh Hà Giang (gọi tắt là Quyết định 04/2025/QĐ-UBND). Theo đó, đã quy đinh rõ trách nhiệm của các cơ quan, đơn vị trong việc ứng phó sự cố hồ chứa quặng đuôi trên dịa bàn tỉnh Hà Giang (cũ). Tuy nhiên, hiên nay do chính sách hợp nhất các Sở, ngành, sáp nhập tỉnh dẫn tới việc quy định trách nhiệm của các cơ quan, đơn vị theo quyết định 04/2025/QĐ-UBND không </w:t>
      </w:r>
      <w:r w:rsidR="008E766E" w:rsidRPr="008E766E">
        <w:rPr>
          <w:snapToGrid w:val="0"/>
          <w:sz w:val="28"/>
          <w:szCs w:val="28"/>
          <w:lang w:val="nl-NL"/>
        </w:rPr>
        <w:lastRenderedPageBreak/>
        <w:t>còn phù hợ</w:t>
      </w:r>
      <w:r w:rsidR="00354F17">
        <w:rPr>
          <w:snapToGrid w:val="0"/>
          <w:sz w:val="28"/>
          <w:szCs w:val="28"/>
          <w:lang w:val="nl-NL"/>
        </w:rPr>
        <w:t>p.</w:t>
      </w:r>
      <w:r w:rsidR="008E766E" w:rsidRPr="008E766E">
        <w:rPr>
          <w:snapToGrid w:val="0"/>
          <w:sz w:val="28"/>
          <w:szCs w:val="28"/>
          <w:lang w:val="nl-NL"/>
        </w:rPr>
        <w:t xml:space="preserve"> </w:t>
      </w:r>
      <w:r w:rsidR="00624203">
        <w:rPr>
          <w:snapToGrid w:val="0"/>
          <w:sz w:val="28"/>
          <w:szCs w:val="28"/>
          <w:lang w:val="nl-NL"/>
        </w:rPr>
        <w:t>Mặt khác, U</w:t>
      </w:r>
      <w:r w:rsidR="008E766E" w:rsidRPr="008E766E">
        <w:rPr>
          <w:snapToGrid w:val="0"/>
          <w:sz w:val="28"/>
          <w:szCs w:val="28"/>
          <w:lang w:val="nl-NL"/>
        </w:rPr>
        <w:t xml:space="preserve">ỷ ban nhân dân tỉnh Tuyên Quang chưa ban hành quy chế. </w:t>
      </w:r>
    </w:p>
    <w:p w:rsidR="00146EDC" w:rsidRDefault="00624203" w:rsidP="00624203">
      <w:pPr>
        <w:pStyle w:val="Vnbnnidung0"/>
        <w:spacing w:before="120" w:after="120" w:line="240" w:lineRule="auto"/>
        <w:ind w:firstLine="567"/>
        <w:jc w:val="both"/>
        <w:rPr>
          <w:snapToGrid w:val="0"/>
          <w:sz w:val="28"/>
          <w:szCs w:val="28"/>
          <w:lang w:val="nl-NL"/>
        </w:rPr>
      </w:pPr>
      <w:r>
        <w:rPr>
          <w:snapToGrid w:val="0"/>
          <w:sz w:val="28"/>
          <w:szCs w:val="28"/>
          <w:lang w:val="nl-NL"/>
        </w:rPr>
        <w:t>- H</w:t>
      </w:r>
      <w:r w:rsidR="00146EDC">
        <w:rPr>
          <w:snapToGrid w:val="0"/>
          <w:sz w:val="28"/>
          <w:szCs w:val="28"/>
          <w:lang w:val="nl-NL"/>
        </w:rPr>
        <w:t>iện nay trên địa bàn tỉ</w:t>
      </w:r>
      <w:r w:rsidR="00354F17">
        <w:rPr>
          <w:snapToGrid w:val="0"/>
          <w:sz w:val="28"/>
          <w:szCs w:val="28"/>
          <w:lang w:val="nl-NL"/>
        </w:rPr>
        <w:t>nh Tuyên Quang</w:t>
      </w:r>
      <w:r w:rsidR="00146EDC">
        <w:rPr>
          <w:snapToGrid w:val="0"/>
          <w:sz w:val="28"/>
          <w:szCs w:val="28"/>
          <w:lang w:val="nl-NL"/>
        </w:rPr>
        <w:t xml:space="preserve"> có một số dự án khai thác và chế biến khoáng sản có hoạt động tuyển quặng và có hồ chứa quặng đuôi như mỏ sắt Sàng Thầ</w:t>
      </w:r>
      <w:r w:rsidR="00354F17">
        <w:rPr>
          <w:snapToGrid w:val="0"/>
          <w:sz w:val="28"/>
          <w:szCs w:val="28"/>
          <w:lang w:val="nl-NL"/>
        </w:rPr>
        <w:t>n, xã Minh Sơn</w:t>
      </w:r>
      <w:r w:rsidR="00146EDC">
        <w:rPr>
          <w:snapToGrid w:val="0"/>
          <w:sz w:val="28"/>
          <w:szCs w:val="28"/>
          <w:lang w:val="nl-NL"/>
        </w:rPr>
        <w:t>; mỏ sắt Lũng Rầy, xã Thuậ</w:t>
      </w:r>
      <w:r w:rsidR="00354F17">
        <w:rPr>
          <w:snapToGrid w:val="0"/>
          <w:sz w:val="28"/>
          <w:szCs w:val="28"/>
          <w:lang w:val="nl-NL"/>
        </w:rPr>
        <w:t>n Hoà</w:t>
      </w:r>
      <w:r w:rsidR="00146EDC">
        <w:rPr>
          <w:snapToGrid w:val="0"/>
          <w:sz w:val="28"/>
          <w:szCs w:val="28"/>
          <w:lang w:val="nl-NL"/>
        </w:rPr>
        <w:t xml:space="preserve">; mỏ sắt Nam Lương, </w:t>
      </w:r>
      <w:r w:rsidR="00354F17">
        <w:rPr>
          <w:snapToGrid w:val="0"/>
          <w:sz w:val="28"/>
          <w:szCs w:val="28"/>
          <w:lang w:val="nl-NL"/>
        </w:rPr>
        <w:t>xã Lùng Tám</w:t>
      </w:r>
      <w:r w:rsidR="00146EDC">
        <w:rPr>
          <w:snapToGrid w:val="0"/>
          <w:sz w:val="28"/>
          <w:szCs w:val="28"/>
          <w:lang w:val="nl-NL"/>
        </w:rPr>
        <w:t>; mỏ chì kẽ</w:t>
      </w:r>
      <w:r w:rsidR="00354F17">
        <w:rPr>
          <w:snapToGrid w:val="0"/>
          <w:sz w:val="28"/>
          <w:szCs w:val="28"/>
          <w:lang w:val="nl-NL"/>
        </w:rPr>
        <w:t>m Tà Pan, xã Minh Sơn</w:t>
      </w:r>
      <w:r>
        <w:rPr>
          <w:snapToGrid w:val="0"/>
          <w:sz w:val="28"/>
          <w:szCs w:val="28"/>
          <w:lang w:val="nl-NL"/>
        </w:rPr>
        <w:t>... với</w:t>
      </w:r>
      <w:r w:rsidR="00146EDC">
        <w:rPr>
          <w:snapToGrid w:val="0"/>
          <w:sz w:val="28"/>
          <w:szCs w:val="28"/>
          <w:lang w:val="nl-NL"/>
        </w:rPr>
        <w:t xml:space="preserve"> thời tiết ngày càng cực đoan, mưa nhiều và lưu lượng lớn có thể tiềm ẩn nguy cơ gây mất an toàn hồ chứa quặng đuôi.</w:t>
      </w:r>
    </w:p>
    <w:p w:rsidR="00354F17" w:rsidRDefault="00354F17" w:rsidP="00624203">
      <w:pPr>
        <w:pStyle w:val="Vnbnnidung0"/>
        <w:spacing w:before="120" w:after="120" w:line="240" w:lineRule="auto"/>
        <w:ind w:firstLine="567"/>
        <w:jc w:val="both"/>
        <w:rPr>
          <w:snapToGrid w:val="0"/>
          <w:sz w:val="28"/>
          <w:szCs w:val="28"/>
          <w:lang w:val="nl-NL"/>
        </w:rPr>
      </w:pPr>
      <w:r>
        <w:rPr>
          <w:snapToGrid w:val="0"/>
          <w:sz w:val="28"/>
          <w:szCs w:val="28"/>
          <w:lang w:val="nl-NL"/>
        </w:rPr>
        <w:t xml:space="preserve">Từ những cơ sở pháp lý, thực tiễn nêu trên, việc ban hành </w:t>
      </w:r>
      <w:r w:rsidRPr="00B92D62">
        <w:rPr>
          <w:lang w:val="nl-NL"/>
        </w:rPr>
        <w:t>Quy</w:t>
      </w:r>
      <w:r>
        <w:rPr>
          <w:lang w:val="nl-NL"/>
        </w:rPr>
        <w:t xml:space="preserve"> chế phối hợp ứng phó sự cố hồ </w:t>
      </w:r>
      <w:r w:rsidRPr="00B92D62">
        <w:rPr>
          <w:lang w:val="nl-NL"/>
        </w:rPr>
        <w:t xml:space="preserve">chứa quặng </w:t>
      </w:r>
      <w:r w:rsidRPr="00B92D62">
        <w:rPr>
          <w:rFonts w:hint="eastAsia"/>
          <w:lang w:val="nl-NL"/>
        </w:rPr>
        <w:t>đ</w:t>
      </w:r>
      <w:r w:rsidRPr="00B92D62">
        <w:rPr>
          <w:lang w:val="nl-NL"/>
        </w:rPr>
        <w:t xml:space="preserve">uôi trong hoạt </w:t>
      </w:r>
      <w:r w:rsidRPr="00B92D62">
        <w:rPr>
          <w:rFonts w:hint="eastAsia"/>
          <w:lang w:val="nl-NL"/>
        </w:rPr>
        <w:t>đ</w:t>
      </w:r>
      <w:r>
        <w:rPr>
          <w:lang w:val="nl-NL"/>
        </w:rPr>
        <w:t xml:space="preserve">ộng khai thác và chế biến </w:t>
      </w:r>
      <w:r w:rsidRPr="00B92D62">
        <w:rPr>
          <w:lang w:val="nl-NL"/>
        </w:rPr>
        <w:t xml:space="preserve">khoáng sản trên </w:t>
      </w:r>
      <w:r w:rsidRPr="00B92D62">
        <w:rPr>
          <w:rFonts w:hint="eastAsia"/>
          <w:lang w:val="nl-NL"/>
        </w:rPr>
        <w:t>đ</w:t>
      </w:r>
      <w:r>
        <w:rPr>
          <w:lang w:val="nl-NL"/>
        </w:rPr>
        <w:t xml:space="preserve">ịa bàn tỉnh Tuyên Quang </w:t>
      </w:r>
      <w:r w:rsidR="00624203">
        <w:rPr>
          <w:lang w:val="nl-NL"/>
        </w:rPr>
        <w:t xml:space="preserve">để phân rõ trách nhiệm, chủ động phối hợp khi xảy ra sự cố hồ chứa quặng đuôi đảm bảo tối thiểu thiệt hại về người và của </w:t>
      </w:r>
      <w:r>
        <w:rPr>
          <w:lang w:val="nl-NL"/>
        </w:rPr>
        <w:t>là cần thiết.</w:t>
      </w:r>
    </w:p>
    <w:p w:rsidR="00624203" w:rsidRDefault="00146EDC" w:rsidP="00624203">
      <w:pPr>
        <w:widowControl w:val="0"/>
        <w:tabs>
          <w:tab w:val="right" w:leader="dot" w:pos="7920"/>
        </w:tabs>
        <w:spacing w:before="120" w:after="120"/>
        <w:ind w:firstLine="454"/>
        <w:jc w:val="both"/>
        <w:rPr>
          <w:rFonts w:ascii="Times New Roman Bold" w:hAnsi="Times New Roman Bold"/>
          <w:b/>
          <w:spacing w:val="-4"/>
          <w:sz w:val="26"/>
          <w:szCs w:val="26"/>
        </w:rPr>
      </w:pPr>
      <w:r w:rsidRPr="00122B30">
        <w:rPr>
          <w:b/>
          <w:sz w:val="26"/>
          <w:szCs w:val="26"/>
          <w:lang w:val="pl-PL"/>
        </w:rPr>
        <w:t xml:space="preserve">II. </w:t>
      </w:r>
      <w:r w:rsidRPr="00122B30">
        <w:rPr>
          <w:rFonts w:ascii="Times New Roman Bold" w:hAnsi="Times New Roman Bold"/>
          <w:b/>
          <w:spacing w:val="-4"/>
          <w:sz w:val="26"/>
          <w:szCs w:val="26"/>
        </w:rPr>
        <w:t>MỤC ĐÍCH BAN HÀNH, QUAN ĐIỂM XÂY DỰNG DỰ THẢO VĂN BẢN</w:t>
      </w:r>
    </w:p>
    <w:p w:rsidR="00624203" w:rsidRPr="00624203" w:rsidRDefault="00146EDC" w:rsidP="00624203">
      <w:pPr>
        <w:widowControl w:val="0"/>
        <w:tabs>
          <w:tab w:val="right" w:leader="dot" w:pos="7920"/>
        </w:tabs>
        <w:spacing w:before="120" w:after="120"/>
        <w:ind w:firstLine="454"/>
        <w:jc w:val="both"/>
        <w:rPr>
          <w:rFonts w:ascii="Times New Roman Bold" w:hAnsi="Times New Roman Bold"/>
          <w:b/>
          <w:spacing w:val="-4"/>
          <w:sz w:val="26"/>
          <w:szCs w:val="26"/>
        </w:rPr>
      </w:pPr>
      <w:r w:rsidRPr="00624203">
        <w:rPr>
          <w:lang w:val="pl-PL"/>
        </w:rPr>
        <w:t>1. Mục đích ban hành văn bản.</w:t>
      </w:r>
    </w:p>
    <w:p w:rsidR="00146EDC" w:rsidRPr="00624203" w:rsidRDefault="00146EDC" w:rsidP="00624203">
      <w:pPr>
        <w:widowControl w:val="0"/>
        <w:tabs>
          <w:tab w:val="right" w:leader="dot" w:pos="7920"/>
        </w:tabs>
        <w:spacing w:before="120" w:after="120"/>
        <w:ind w:firstLine="454"/>
        <w:jc w:val="both"/>
        <w:rPr>
          <w:rFonts w:ascii="Times New Roman Bold" w:hAnsi="Times New Roman Bold"/>
          <w:spacing w:val="-4"/>
          <w:sz w:val="26"/>
          <w:szCs w:val="26"/>
        </w:rPr>
      </w:pPr>
      <w:r w:rsidRPr="00B92D62">
        <w:rPr>
          <w:lang w:val="pl-PL"/>
        </w:rPr>
        <w:t xml:space="preserve">Việc ban hành Quy chế phối hợp ứng phó sự cố hồ chứa quặng </w:t>
      </w:r>
      <w:r w:rsidRPr="00B92D62">
        <w:rPr>
          <w:rFonts w:hint="eastAsia"/>
          <w:lang w:val="pl-PL"/>
        </w:rPr>
        <w:t>đ</w:t>
      </w:r>
      <w:r w:rsidRPr="00B92D62">
        <w:rPr>
          <w:lang w:val="pl-PL"/>
        </w:rPr>
        <w:t xml:space="preserve">uôi trong hoạt </w:t>
      </w:r>
      <w:r w:rsidRPr="00B92D62">
        <w:rPr>
          <w:rFonts w:hint="eastAsia"/>
          <w:lang w:val="pl-PL"/>
        </w:rPr>
        <w:t>đ</w:t>
      </w:r>
      <w:r w:rsidRPr="00B92D62">
        <w:rPr>
          <w:lang w:val="pl-PL"/>
        </w:rPr>
        <w:t xml:space="preserve">ộng khai thác và chế biến khoáng sản trên </w:t>
      </w:r>
      <w:r w:rsidRPr="00B92D62">
        <w:rPr>
          <w:rFonts w:hint="eastAsia"/>
          <w:lang w:val="pl-PL"/>
        </w:rPr>
        <w:t>đ</w:t>
      </w:r>
      <w:r w:rsidR="00354F17">
        <w:rPr>
          <w:lang w:val="pl-PL"/>
        </w:rPr>
        <w:t>ịa bàn tỉnh Tuyên Quang</w:t>
      </w:r>
      <w:r>
        <w:rPr>
          <w:lang w:val="pl-PL"/>
        </w:rPr>
        <w:t xml:space="preserve"> nhằm phân công trách nhiệm, nhiệm vụ cụ thể cho các cơ quan quản lý nhà nước, chủ sở hữu hồ chứa, tổ chức, cá nhân có liên quan đến công tác chuẩn bị, ứng phó sự cố hồ chứa quặng đuôi để biết, tổ chức thực hiện khi xảy ra sự cố. Nhằm khắc phục nhanh chóng, giảm thiểu thiệt hại tối đa tới người dân, môi trường, của cải vật chất bị ảnh hưởng.</w:t>
      </w:r>
    </w:p>
    <w:p w:rsidR="00146EDC" w:rsidRPr="00624203" w:rsidRDefault="00146EDC" w:rsidP="00624203">
      <w:pPr>
        <w:spacing w:before="120" w:after="120"/>
        <w:ind w:firstLine="426"/>
        <w:jc w:val="both"/>
        <w:rPr>
          <w:lang w:val="pl-PL"/>
        </w:rPr>
      </w:pPr>
      <w:r w:rsidRPr="00624203">
        <w:rPr>
          <w:lang w:val="pl-PL"/>
        </w:rPr>
        <w:t>2. Quan điểm xây dựng dự thảo văn bản.</w:t>
      </w:r>
    </w:p>
    <w:p w:rsidR="00146EDC" w:rsidRPr="00B92D62" w:rsidRDefault="00146EDC" w:rsidP="00624203">
      <w:pPr>
        <w:spacing w:before="120" w:after="120"/>
        <w:ind w:firstLine="426"/>
        <w:jc w:val="both"/>
        <w:rPr>
          <w:lang w:val="pl-PL"/>
        </w:rPr>
      </w:pPr>
      <w:r>
        <w:rPr>
          <w:lang w:val="pl-PL"/>
        </w:rPr>
        <w:t>Việc xây dựng dự thảo phải tuân thủ nghiêm quy định của Luật Ban hành Quyết định quy phạm pháp luật, đảm bảo tính hợp hiến, hợp pháp, thống nhất với hệ thông pháp luật khác và đảm bảo tính khả thi khi Quết định được ban hành.</w:t>
      </w:r>
    </w:p>
    <w:p w:rsidR="00354F17" w:rsidRDefault="00354F17" w:rsidP="00624203">
      <w:pPr>
        <w:spacing w:before="120" w:after="120"/>
        <w:ind w:firstLine="567"/>
        <w:jc w:val="both"/>
        <w:rPr>
          <w:b/>
          <w:lang w:val="pl-PL"/>
        </w:rPr>
      </w:pPr>
      <w:r>
        <w:rPr>
          <w:b/>
          <w:lang w:val="pl-PL"/>
        </w:rPr>
        <w:t>III. QUÁ TRÌNH XÂY DỰNG DỰ THẢO QUYẾT ĐỊNH</w:t>
      </w:r>
    </w:p>
    <w:p w:rsidR="00354F17" w:rsidRDefault="00354F17" w:rsidP="00624203">
      <w:pPr>
        <w:spacing w:before="120" w:after="120"/>
        <w:ind w:firstLine="567"/>
        <w:jc w:val="both"/>
      </w:pPr>
      <w:r>
        <w:t>Ngày 10/3/2026, Ủy ban nhân dân tỉnh ban hành Công văn số 1482/UBNDNC về việc tập trung tham mưu xử lý các văn bản quy phạm pháp luật chịu sự tác động của việc sắp xếp tổ chức bộ máy.</w:t>
      </w:r>
    </w:p>
    <w:p w:rsidR="00354F17" w:rsidRDefault="008B183C" w:rsidP="00624203">
      <w:pPr>
        <w:spacing w:before="120" w:after="120"/>
        <w:ind w:firstLine="567"/>
        <w:jc w:val="both"/>
        <w:rPr>
          <w:lang w:val="pl-PL"/>
        </w:rPr>
      </w:pPr>
      <w:r>
        <w:t xml:space="preserve">Sở Công Thướng đã ban hành Quyết định …….. về việc thành lập Tổ soạn thảo xây dựng dự thảo Quyết định của Uỷ ban nhân dân tỉnh ban hành </w:t>
      </w:r>
      <w:r w:rsidRPr="00B92D62">
        <w:rPr>
          <w:lang w:val="pl-PL"/>
        </w:rPr>
        <w:t xml:space="preserve">Quy chế phối hợp ứng phó sự cố hồ chứa quặng </w:t>
      </w:r>
      <w:r w:rsidRPr="00B92D62">
        <w:rPr>
          <w:rFonts w:hint="eastAsia"/>
          <w:lang w:val="pl-PL"/>
        </w:rPr>
        <w:t>đ</w:t>
      </w:r>
      <w:r w:rsidRPr="00B92D62">
        <w:rPr>
          <w:lang w:val="pl-PL"/>
        </w:rPr>
        <w:t xml:space="preserve">uôi trong hoạt </w:t>
      </w:r>
      <w:r w:rsidRPr="00B92D62">
        <w:rPr>
          <w:rFonts w:hint="eastAsia"/>
          <w:lang w:val="pl-PL"/>
        </w:rPr>
        <w:t>đ</w:t>
      </w:r>
      <w:r w:rsidRPr="00B92D62">
        <w:rPr>
          <w:lang w:val="pl-PL"/>
        </w:rPr>
        <w:t xml:space="preserve">ộng khai thác và chế biến khoáng sản trên </w:t>
      </w:r>
      <w:r w:rsidRPr="00B92D62">
        <w:rPr>
          <w:rFonts w:hint="eastAsia"/>
          <w:lang w:val="pl-PL"/>
        </w:rPr>
        <w:t>đ</w:t>
      </w:r>
      <w:r>
        <w:rPr>
          <w:lang w:val="pl-PL"/>
        </w:rPr>
        <w:t>ịa bàn tỉnh Tuyên Quang.</w:t>
      </w:r>
    </w:p>
    <w:p w:rsidR="008B183C" w:rsidRDefault="008B183C" w:rsidP="00624203">
      <w:pPr>
        <w:spacing w:before="120" w:after="120"/>
        <w:ind w:firstLine="567"/>
        <w:jc w:val="both"/>
        <w:rPr>
          <w:lang w:val="pl-PL"/>
        </w:rPr>
      </w:pPr>
      <w:r>
        <w:rPr>
          <w:lang w:val="pl-PL"/>
        </w:rPr>
        <w:t>Ngày ....., Sở Công Thương đã gửi dự thảo Quyết định .... đến các cơ quan, đơn vị có liên quan, Uỷ ban nhân dân các xã, phường tham gia ý kiến bằng văn bản và đăng trên Cổng thông tin điện tử của tỉnh, Trang thông tin điện tử của Sở để cá nhân, tổ chức tham gia ý kiến.</w:t>
      </w:r>
    </w:p>
    <w:p w:rsidR="008B183C" w:rsidRDefault="008B183C" w:rsidP="00624203">
      <w:pPr>
        <w:spacing w:before="120" w:after="120"/>
        <w:ind w:firstLine="567"/>
        <w:jc w:val="both"/>
      </w:pPr>
      <w:r>
        <w:rPr>
          <w:lang w:val="pl-PL"/>
        </w:rPr>
        <w:t xml:space="preserve">Kết quả, Sở Công Thương đã nhận được văn bản tham gia ý kiến của ..... cơ quan </w:t>
      </w:r>
      <w:r>
        <w:t xml:space="preserve">đơn vị, trong đó có ....cơ quan, đơn vị nhất trí hoàn toàn với dự thảo Quyết định; ... cơ quan, đơn vị có ý kiến tham gia đóng góp vào dự thảo Quyết định. Trên cơ sở </w:t>
      </w:r>
      <w:r>
        <w:lastRenderedPageBreak/>
        <w:t>ý kiến tham gia bằng văn bản của cơ quan, đơn vị, Sở Công Thương đã tổng hợp, nghiên cứu, tiếp thu, chỉnh sửa dự thảo Quyết định gửi Sở Tư pháp thẩm định.</w:t>
      </w:r>
    </w:p>
    <w:p w:rsidR="008B183C" w:rsidRDefault="008B183C" w:rsidP="00624203">
      <w:pPr>
        <w:spacing w:before="120" w:after="120"/>
        <w:ind w:firstLine="567"/>
        <w:jc w:val="both"/>
        <w:rPr>
          <w:b/>
          <w:lang w:val="pl-PL"/>
        </w:rPr>
      </w:pPr>
      <w:r>
        <w:t>Ngày …., Sở Tư pháp đã có Báo cáo thẩm định dự thảo Quyết định. Sở Công Thương đã tiếp thu, giải trình ý kiến thẩm định của Sở Tư pháp, hoàn chỉnh dự thảo Quyết định trình Ủy ban nhân dân tỉnh.</w:t>
      </w:r>
    </w:p>
    <w:p w:rsidR="008B183C" w:rsidRDefault="008B183C" w:rsidP="00624203">
      <w:pPr>
        <w:spacing w:before="120" w:after="120"/>
        <w:ind w:firstLine="567"/>
        <w:jc w:val="both"/>
        <w:rPr>
          <w:b/>
          <w:lang w:val="pl-PL"/>
        </w:rPr>
      </w:pPr>
      <w:r>
        <w:rPr>
          <w:b/>
          <w:lang w:val="pl-PL"/>
        </w:rPr>
        <w:t>IV. BỐ CỤC VÀ NỘI DUNG CỦA DỰ THẢO VĂN BẢN</w:t>
      </w:r>
    </w:p>
    <w:p w:rsidR="008B183C" w:rsidRDefault="008B183C" w:rsidP="00624203">
      <w:pPr>
        <w:spacing w:before="120" w:after="120"/>
        <w:ind w:firstLine="567"/>
        <w:jc w:val="both"/>
        <w:rPr>
          <w:b/>
          <w:lang w:val="pl-PL"/>
        </w:rPr>
      </w:pPr>
      <w:r>
        <w:rPr>
          <w:b/>
          <w:lang w:val="pl-PL"/>
        </w:rPr>
        <w:t>1. Phạm vi điều chỉnh, đối tượng áp dụng</w:t>
      </w:r>
    </w:p>
    <w:p w:rsidR="00146EDC" w:rsidRPr="008B183C" w:rsidRDefault="008B183C" w:rsidP="00624203">
      <w:pPr>
        <w:spacing w:before="120" w:after="120"/>
        <w:ind w:firstLine="567"/>
        <w:jc w:val="both"/>
        <w:rPr>
          <w:lang w:val="pl-PL"/>
        </w:rPr>
      </w:pPr>
      <w:r w:rsidRPr="008B183C">
        <w:rPr>
          <w:lang w:val="pl-PL"/>
        </w:rPr>
        <w:t>-</w:t>
      </w:r>
      <w:r w:rsidR="00146EDC" w:rsidRPr="008B183C">
        <w:rPr>
          <w:lang w:val="pl-PL"/>
        </w:rPr>
        <w:t xml:space="preserve"> Phạm vi </w:t>
      </w:r>
      <w:r w:rsidR="00146EDC" w:rsidRPr="008B183C">
        <w:rPr>
          <w:rFonts w:hint="eastAsia"/>
          <w:lang w:val="pl-PL"/>
        </w:rPr>
        <w:t>đ</w:t>
      </w:r>
      <w:r w:rsidR="00146EDC" w:rsidRPr="008B183C">
        <w:rPr>
          <w:lang w:val="pl-PL"/>
        </w:rPr>
        <w:t>iều chỉnh.</w:t>
      </w:r>
    </w:p>
    <w:p w:rsidR="008B183C" w:rsidRPr="000C5806" w:rsidRDefault="00146EDC" w:rsidP="00624203">
      <w:pPr>
        <w:shd w:val="clear" w:color="auto" w:fill="FFFFFF"/>
        <w:spacing w:before="120" w:after="120"/>
        <w:ind w:firstLine="567"/>
        <w:jc w:val="both"/>
        <w:textAlignment w:val="baseline"/>
      </w:pPr>
      <w:r w:rsidRPr="00DA7665">
        <w:rPr>
          <w:b/>
          <w:lang w:val="pl-PL"/>
        </w:rPr>
        <w:tab/>
      </w:r>
      <w:r w:rsidR="008B183C" w:rsidRPr="000C5806">
        <w:t xml:space="preserve">Quy chế này quy định cụ thể về sự phối hợp của các cấp, các ngành trong việc ứng phó sự cố hồ chứa quặng đuôi trong hoạt động khai thác và chế biến khoáng sản (trừ khoáng sản than và khoáng sản làm vật liệu xây </w:t>
      </w:r>
      <w:r w:rsidR="008B183C">
        <w:t>dựng) trên địa bàn tỉnh Tuyên Quang</w:t>
      </w:r>
      <w:r w:rsidR="008B183C" w:rsidRPr="000C5806">
        <w:t>.</w:t>
      </w:r>
    </w:p>
    <w:p w:rsidR="00146EDC" w:rsidRPr="008B183C" w:rsidRDefault="008B183C" w:rsidP="00624203">
      <w:pPr>
        <w:spacing w:before="120" w:after="120"/>
        <w:ind w:firstLine="567"/>
        <w:jc w:val="both"/>
        <w:rPr>
          <w:lang w:val="pl-PL"/>
        </w:rPr>
      </w:pPr>
      <w:r w:rsidRPr="008B183C">
        <w:rPr>
          <w:lang w:val="pl-PL"/>
        </w:rPr>
        <w:t>-</w:t>
      </w:r>
      <w:r w:rsidR="00146EDC" w:rsidRPr="008B183C">
        <w:rPr>
          <w:lang w:val="pl-PL"/>
        </w:rPr>
        <w:t xml:space="preserve"> </w:t>
      </w:r>
      <w:r w:rsidR="00146EDC" w:rsidRPr="008B183C">
        <w:rPr>
          <w:rFonts w:hint="eastAsia"/>
          <w:lang w:val="pl-PL"/>
        </w:rPr>
        <w:t>Đ</w:t>
      </w:r>
      <w:r w:rsidR="00146EDC" w:rsidRPr="008B183C">
        <w:rPr>
          <w:lang w:val="pl-PL"/>
        </w:rPr>
        <w:t>ối t</w:t>
      </w:r>
      <w:r w:rsidR="00146EDC" w:rsidRPr="008B183C">
        <w:rPr>
          <w:rFonts w:hint="eastAsia"/>
          <w:lang w:val="pl-PL"/>
        </w:rPr>
        <w:t>ư</w:t>
      </w:r>
      <w:r w:rsidR="00146EDC" w:rsidRPr="008B183C">
        <w:rPr>
          <w:lang w:val="pl-PL"/>
        </w:rPr>
        <w:t>ợng áp dụng.</w:t>
      </w:r>
    </w:p>
    <w:p w:rsidR="008B183C" w:rsidRDefault="00146EDC" w:rsidP="00624203">
      <w:pPr>
        <w:widowControl w:val="0"/>
        <w:spacing w:before="120" w:after="120"/>
        <w:ind w:firstLine="567"/>
        <w:jc w:val="both"/>
      </w:pPr>
      <w:r w:rsidRPr="00DA7665">
        <w:rPr>
          <w:b/>
          <w:lang w:val="pl-PL"/>
        </w:rPr>
        <w:tab/>
      </w:r>
      <w:r w:rsidR="008B183C" w:rsidRPr="000C5806">
        <w:t>Quy chế này được áp dụng đối với cơ quan quản lý nhà nước, chủ sở hữu, tổ chức, cá nhân có liên quan đến cô</w:t>
      </w:r>
      <w:r w:rsidR="008B183C">
        <w:t xml:space="preserve">ng tác ứng phó sự cố hồ chứa </w:t>
      </w:r>
      <w:r w:rsidR="008B183C" w:rsidRPr="000C5806">
        <w:t>quặng đuôi trong hoạt động khai thác và chế biến khoán</w:t>
      </w:r>
      <w:r w:rsidR="008B183C">
        <w:t>g sản trên địa bàn tỉnh Tuyên Quang</w:t>
      </w:r>
      <w:r w:rsidR="008B183C" w:rsidRPr="000C5806">
        <w:t>.</w:t>
      </w:r>
    </w:p>
    <w:p w:rsidR="008B183C" w:rsidRDefault="008B183C" w:rsidP="00624203">
      <w:pPr>
        <w:widowControl w:val="0"/>
        <w:spacing w:before="120" w:after="120"/>
        <w:ind w:firstLine="567"/>
        <w:jc w:val="both"/>
        <w:rPr>
          <w:b/>
        </w:rPr>
      </w:pPr>
      <w:r w:rsidRPr="008B183C">
        <w:rPr>
          <w:b/>
        </w:rPr>
        <w:t>2. Bố cục.</w:t>
      </w:r>
    </w:p>
    <w:p w:rsidR="008B183C" w:rsidRDefault="008B183C" w:rsidP="00624203">
      <w:pPr>
        <w:widowControl w:val="0"/>
        <w:spacing w:before="120" w:after="120"/>
        <w:ind w:firstLine="567"/>
        <w:jc w:val="both"/>
      </w:pPr>
      <w:r>
        <w:t xml:space="preserve">Dự thảo Quyết định gồm </w:t>
      </w:r>
      <w:r w:rsidR="0005651D">
        <w:t>3 Chương và 12</w:t>
      </w:r>
      <w:r>
        <w:t xml:space="preserve"> điều, cụ thể:</w:t>
      </w:r>
    </w:p>
    <w:p w:rsidR="0005651D" w:rsidRDefault="0005651D" w:rsidP="00624203">
      <w:pPr>
        <w:widowControl w:val="0"/>
        <w:spacing w:before="120" w:after="120"/>
        <w:ind w:firstLine="567"/>
        <w:jc w:val="both"/>
      </w:pPr>
      <w:r>
        <w:t>- Chương I. QUY ĐỊNH CHUNG</w:t>
      </w:r>
    </w:p>
    <w:p w:rsidR="008B183C" w:rsidRPr="0005651D" w:rsidRDefault="008B183C" w:rsidP="00624203">
      <w:pPr>
        <w:widowControl w:val="0"/>
        <w:spacing w:before="120" w:after="120"/>
        <w:ind w:firstLine="567"/>
        <w:jc w:val="both"/>
        <w:rPr>
          <w:rFonts w:eastAsia="Calibri"/>
          <w:lang w:val="nl-NL"/>
        </w:rPr>
      </w:pPr>
      <w:r w:rsidRPr="0005651D">
        <w:rPr>
          <w:rFonts w:eastAsia="Calibri"/>
          <w:lang w:val="nl-NL"/>
        </w:rPr>
        <w:t>Điều 1. Phạm vi điều chỉnh.</w:t>
      </w:r>
    </w:p>
    <w:p w:rsidR="008B183C" w:rsidRPr="0005651D" w:rsidRDefault="008B183C" w:rsidP="00624203">
      <w:pPr>
        <w:widowControl w:val="0"/>
        <w:spacing w:before="120" w:after="120"/>
        <w:ind w:firstLine="567"/>
        <w:jc w:val="both"/>
        <w:rPr>
          <w:rFonts w:eastAsia="Calibri"/>
          <w:lang w:val="nl-NL"/>
        </w:rPr>
      </w:pPr>
      <w:r w:rsidRPr="0005651D">
        <w:rPr>
          <w:rFonts w:eastAsia="Calibri"/>
          <w:lang w:val="nl-NL"/>
        </w:rPr>
        <w:t>Điều 2. Đối tượng áp dụng</w:t>
      </w:r>
    </w:p>
    <w:p w:rsidR="008B183C" w:rsidRDefault="008B183C" w:rsidP="00624203">
      <w:pPr>
        <w:widowControl w:val="0"/>
        <w:spacing w:before="120" w:after="120"/>
        <w:ind w:firstLine="567"/>
        <w:jc w:val="both"/>
        <w:rPr>
          <w:rFonts w:eastAsia="Calibri"/>
          <w:lang w:val="nl-NL"/>
        </w:rPr>
      </w:pPr>
      <w:r w:rsidRPr="0005651D">
        <w:rPr>
          <w:rFonts w:eastAsia="Calibri"/>
          <w:lang w:val="nl-NL"/>
        </w:rPr>
        <w:t>Điều 3. Nguyên tắc phối hợp</w:t>
      </w:r>
    </w:p>
    <w:p w:rsidR="0005651D" w:rsidRPr="0005651D" w:rsidRDefault="0005651D" w:rsidP="00624203">
      <w:pPr>
        <w:widowControl w:val="0"/>
        <w:spacing w:before="120" w:after="120"/>
        <w:ind w:firstLine="567"/>
        <w:jc w:val="both"/>
        <w:rPr>
          <w:rFonts w:eastAsia="Calibri"/>
          <w:lang w:val="nl-NL"/>
        </w:rPr>
      </w:pPr>
      <w:r>
        <w:rPr>
          <w:rFonts w:eastAsia="Calibri"/>
          <w:lang w:val="nl-NL"/>
        </w:rPr>
        <w:t xml:space="preserve">- Chương II. </w:t>
      </w:r>
      <w:r w:rsidRPr="0005651D">
        <w:rPr>
          <w:rFonts w:eastAsia="Calibri"/>
          <w:lang w:val="nl-NL"/>
        </w:rPr>
        <w:t>TRÁCH NHIỆM CỦA CÁC CƠ QUAN, ĐƠN VỊ TRONG ỨNG PHÓ SỰ CỐ HỒ CHỨA QUẶNG ĐUÔI</w:t>
      </w:r>
    </w:p>
    <w:p w:rsidR="008B183C" w:rsidRPr="0005651D" w:rsidRDefault="008B183C" w:rsidP="00624203">
      <w:pPr>
        <w:widowControl w:val="0"/>
        <w:spacing w:before="120" w:after="120"/>
        <w:ind w:firstLine="567"/>
        <w:jc w:val="both"/>
        <w:rPr>
          <w:rFonts w:eastAsia="Calibri"/>
          <w:lang w:val="nl-NL"/>
        </w:rPr>
      </w:pPr>
      <w:r w:rsidRPr="0005651D">
        <w:rPr>
          <w:rFonts w:eastAsia="Calibri"/>
          <w:lang w:val="nl-NL"/>
        </w:rPr>
        <w:t>Điều 4. Trách nhiệm của Sở Công Thương</w:t>
      </w:r>
    </w:p>
    <w:p w:rsidR="008B183C" w:rsidRPr="0005651D" w:rsidRDefault="008B183C" w:rsidP="00624203">
      <w:pPr>
        <w:widowControl w:val="0"/>
        <w:spacing w:before="120" w:after="120"/>
        <w:ind w:firstLine="567"/>
        <w:jc w:val="both"/>
        <w:rPr>
          <w:rFonts w:eastAsia="Calibri"/>
          <w:lang w:val="nl-NL"/>
        </w:rPr>
      </w:pPr>
      <w:r w:rsidRPr="0005651D">
        <w:rPr>
          <w:rFonts w:eastAsia="Calibri"/>
          <w:lang w:val="nl-NL"/>
        </w:rPr>
        <w:t>Điều 5. Trách nhiệm của Bộ Chủ huy Quân sự tỉnh.</w:t>
      </w:r>
    </w:p>
    <w:p w:rsidR="008B183C" w:rsidRPr="0005651D" w:rsidRDefault="008B183C" w:rsidP="00624203">
      <w:pPr>
        <w:widowControl w:val="0"/>
        <w:spacing w:before="120" w:after="120"/>
        <w:ind w:firstLine="567"/>
        <w:jc w:val="both"/>
        <w:rPr>
          <w:rFonts w:eastAsia="Calibri"/>
          <w:lang w:val="nl-NL"/>
        </w:rPr>
      </w:pPr>
      <w:r w:rsidRPr="0005651D">
        <w:rPr>
          <w:rFonts w:eastAsia="Calibri"/>
          <w:lang w:val="nl-NL"/>
        </w:rPr>
        <w:t>Điều 6. Trách nhiệm của Sở Nông nghiệp và Môi trường.</w:t>
      </w:r>
    </w:p>
    <w:p w:rsidR="008B183C" w:rsidRPr="0005651D" w:rsidRDefault="008B183C" w:rsidP="00624203">
      <w:pPr>
        <w:widowControl w:val="0"/>
        <w:spacing w:before="120" w:after="120"/>
        <w:ind w:firstLine="567"/>
        <w:jc w:val="both"/>
        <w:rPr>
          <w:rFonts w:eastAsia="Calibri"/>
          <w:lang w:val="nl-NL"/>
        </w:rPr>
      </w:pPr>
      <w:r w:rsidRPr="0005651D">
        <w:rPr>
          <w:rFonts w:eastAsia="Calibri"/>
          <w:lang w:val="nl-NL"/>
        </w:rPr>
        <w:t>Điều 7. Trách nhiệm của Sở Xây dựng</w:t>
      </w:r>
    </w:p>
    <w:p w:rsidR="0005651D" w:rsidRPr="0005651D" w:rsidRDefault="0005651D" w:rsidP="00624203">
      <w:pPr>
        <w:widowControl w:val="0"/>
        <w:spacing w:before="120" w:after="120"/>
        <w:ind w:firstLine="567"/>
        <w:jc w:val="both"/>
        <w:rPr>
          <w:rFonts w:eastAsia="Calibri"/>
          <w:lang w:val="nl-NL"/>
        </w:rPr>
      </w:pPr>
      <w:r w:rsidRPr="0005651D">
        <w:rPr>
          <w:rFonts w:eastAsia="Calibri"/>
          <w:lang w:val="nl-NL"/>
        </w:rPr>
        <w:t>Điều 8. Trách nhiệm của Công an tỉnh</w:t>
      </w:r>
    </w:p>
    <w:p w:rsidR="0005651D" w:rsidRPr="0005651D" w:rsidRDefault="0005651D" w:rsidP="00624203">
      <w:pPr>
        <w:widowControl w:val="0"/>
        <w:spacing w:before="120" w:after="120"/>
        <w:ind w:firstLine="567"/>
        <w:jc w:val="both"/>
        <w:rPr>
          <w:rFonts w:eastAsia="Calibri"/>
          <w:lang w:val="nl-NL"/>
        </w:rPr>
      </w:pPr>
      <w:r w:rsidRPr="0005651D">
        <w:rPr>
          <w:rFonts w:eastAsia="Calibri"/>
          <w:lang w:val="nl-NL"/>
        </w:rPr>
        <w:t>Điều 9. Trách nhiệm của Ủy ban nhân dân các xã, phường</w:t>
      </w:r>
    </w:p>
    <w:p w:rsidR="0005651D" w:rsidRDefault="0005651D" w:rsidP="00624203">
      <w:pPr>
        <w:widowControl w:val="0"/>
        <w:spacing w:before="120" w:after="120"/>
        <w:ind w:firstLine="567"/>
        <w:jc w:val="both"/>
        <w:rPr>
          <w:rFonts w:eastAsia="Calibri"/>
          <w:lang w:val="nl-NL"/>
        </w:rPr>
      </w:pPr>
      <w:r w:rsidRPr="0005651D">
        <w:rPr>
          <w:rFonts w:eastAsia="Calibri"/>
          <w:lang w:val="nl-NL"/>
        </w:rPr>
        <w:t>Điều 10. Trách nhiệm của chủ sở hữu hồ chứa quặng đuôi</w:t>
      </w:r>
    </w:p>
    <w:p w:rsidR="0005651D" w:rsidRPr="0005651D" w:rsidRDefault="0005651D" w:rsidP="00624203">
      <w:pPr>
        <w:widowControl w:val="0"/>
        <w:spacing w:before="120" w:after="120"/>
        <w:ind w:firstLine="567"/>
        <w:jc w:val="both"/>
        <w:rPr>
          <w:rFonts w:eastAsia="Calibri"/>
          <w:lang w:val="nl-NL"/>
        </w:rPr>
      </w:pPr>
      <w:r>
        <w:rPr>
          <w:rFonts w:eastAsia="Calibri"/>
          <w:lang w:val="nl-NL"/>
        </w:rPr>
        <w:t>- Chương III. TỔ CHỨC THỰC HIỆN</w:t>
      </w:r>
    </w:p>
    <w:p w:rsidR="0005651D" w:rsidRPr="0005651D" w:rsidRDefault="0005651D" w:rsidP="00624203">
      <w:pPr>
        <w:shd w:val="clear" w:color="auto" w:fill="FFFFFF"/>
        <w:spacing w:before="120" w:after="120"/>
        <w:ind w:firstLine="567"/>
        <w:jc w:val="both"/>
        <w:textAlignment w:val="baseline"/>
        <w:rPr>
          <w:bCs/>
        </w:rPr>
      </w:pPr>
      <w:r w:rsidRPr="0005651D">
        <w:rPr>
          <w:bCs/>
        </w:rPr>
        <w:lastRenderedPageBreak/>
        <w:t>Điều 11. Chế độ báo cáo</w:t>
      </w:r>
      <w:bookmarkStart w:id="0" w:name="_GoBack"/>
      <w:bookmarkEnd w:id="0"/>
    </w:p>
    <w:p w:rsidR="0005651D" w:rsidRPr="0005651D" w:rsidRDefault="0005651D" w:rsidP="00624203">
      <w:pPr>
        <w:widowControl w:val="0"/>
        <w:spacing w:before="120" w:after="120"/>
        <w:ind w:firstLine="567"/>
        <w:jc w:val="both"/>
        <w:rPr>
          <w:rFonts w:eastAsia="Calibri"/>
          <w:lang w:val="nl-NL"/>
        </w:rPr>
      </w:pPr>
      <w:r w:rsidRPr="0005651D">
        <w:rPr>
          <w:rFonts w:eastAsia="Calibri"/>
          <w:lang w:val="nl-NL"/>
        </w:rPr>
        <w:t>Điều 12. Điều khoản thi hành</w:t>
      </w:r>
    </w:p>
    <w:p w:rsidR="008B183C" w:rsidRDefault="0005651D" w:rsidP="00624203">
      <w:pPr>
        <w:widowControl w:val="0"/>
        <w:spacing w:before="120" w:after="120"/>
        <w:ind w:firstLine="567"/>
        <w:jc w:val="both"/>
        <w:rPr>
          <w:b/>
        </w:rPr>
      </w:pPr>
      <w:r w:rsidRPr="0005651D">
        <w:rPr>
          <w:b/>
        </w:rPr>
        <w:t>3. Nội dung cơ bản</w:t>
      </w:r>
    </w:p>
    <w:p w:rsidR="0005651D" w:rsidRDefault="0005651D" w:rsidP="00624203">
      <w:pPr>
        <w:spacing w:before="120" w:after="120"/>
        <w:ind w:firstLine="567"/>
        <w:jc w:val="both"/>
        <w:rPr>
          <w:b/>
          <w:lang w:val="pl-PL"/>
        </w:rPr>
      </w:pPr>
      <w:r>
        <w:rPr>
          <w:lang w:val="pl-PL"/>
        </w:rPr>
        <w:t xml:space="preserve">Dự thảo Quyết định ban hành </w:t>
      </w:r>
      <w:r w:rsidRPr="00842C96">
        <w:rPr>
          <w:lang w:val="pl-PL"/>
        </w:rPr>
        <w:t xml:space="preserve">Quy chế phối hợp ứng phó sự cố hồ chứa quặng </w:t>
      </w:r>
      <w:r w:rsidRPr="00842C96">
        <w:rPr>
          <w:rFonts w:hint="eastAsia"/>
          <w:lang w:val="pl-PL"/>
        </w:rPr>
        <w:t>đ</w:t>
      </w:r>
      <w:r w:rsidRPr="00842C96">
        <w:rPr>
          <w:lang w:val="pl-PL"/>
        </w:rPr>
        <w:t xml:space="preserve">uôi trong hoạt </w:t>
      </w:r>
      <w:r w:rsidRPr="00842C96">
        <w:rPr>
          <w:rFonts w:hint="eastAsia"/>
          <w:lang w:val="pl-PL"/>
        </w:rPr>
        <w:t>đ</w:t>
      </w:r>
      <w:r w:rsidRPr="00842C96">
        <w:rPr>
          <w:lang w:val="pl-PL"/>
        </w:rPr>
        <w:t xml:space="preserve">ộng khai thác và chế biến khoáng sản trên </w:t>
      </w:r>
      <w:r w:rsidRPr="00842C96">
        <w:rPr>
          <w:rFonts w:hint="eastAsia"/>
          <w:lang w:val="pl-PL"/>
        </w:rPr>
        <w:t>đ</w:t>
      </w:r>
      <w:r w:rsidRPr="00842C96">
        <w:rPr>
          <w:lang w:val="pl-PL"/>
        </w:rPr>
        <w:t xml:space="preserve">ịa bàn tỉnh </w:t>
      </w:r>
      <w:r>
        <w:rPr>
          <w:lang w:val="pl-PL"/>
        </w:rPr>
        <w:t xml:space="preserve">Tuyên Quang quy định về trách nhiệm và </w:t>
      </w:r>
      <w:r w:rsidRPr="00DA7665">
        <w:rPr>
          <w:lang w:val="pl-PL"/>
        </w:rPr>
        <w:t>sự phối hợp của các cấp, các ngành</w:t>
      </w:r>
      <w:r>
        <w:rPr>
          <w:lang w:val="pl-PL"/>
        </w:rPr>
        <w:t>, chủ hồ chứa, tổ chức, cá nhân</w:t>
      </w:r>
      <w:r w:rsidRPr="00DA7665">
        <w:rPr>
          <w:lang w:val="pl-PL"/>
        </w:rPr>
        <w:t xml:space="preserve"> trong việc ứng phó sự cố hồ chứa quặng </w:t>
      </w:r>
      <w:r w:rsidRPr="00DA7665">
        <w:rPr>
          <w:rFonts w:hint="eastAsia"/>
          <w:lang w:val="pl-PL"/>
        </w:rPr>
        <w:t>đ</w:t>
      </w:r>
      <w:r w:rsidRPr="00DA7665">
        <w:rPr>
          <w:lang w:val="pl-PL"/>
        </w:rPr>
        <w:t xml:space="preserve">uôi trong hoạt </w:t>
      </w:r>
      <w:r w:rsidRPr="00DA7665">
        <w:rPr>
          <w:rFonts w:hint="eastAsia"/>
          <w:lang w:val="pl-PL"/>
        </w:rPr>
        <w:t>đ</w:t>
      </w:r>
      <w:r w:rsidRPr="00DA7665">
        <w:rPr>
          <w:lang w:val="pl-PL"/>
        </w:rPr>
        <w:t>ộng khai thác và chế biến khoáng sản (</w:t>
      </w:r>
      <w:r w:rsidRPr="001A5BDD">
        <w:rPr>
          <w:i/>
          <w:lang w:val="pl-PL"/>
        </w:rPr>
        <w:t>trừ khoáng sản than và khoáng sản làm vật liệu xây dựng</w:t>
      </w:r>
      <w:r w:rsidRPr="00DA7665">
        <w:rPr>
          <w:lang w:val="pl-PL"/>
        </w:rPr>
        <w:t xml:space="preserve">) trên </w:t>
      </w:r>
      <w:r w:rsidRPr="00DA7665">
        <w:rPr>
          <w:rFonts w:hint="eastAsia"/>
          <w:lang w:val="pl-PL"/>
        </w:rPr>
        <w:t>đ</w:t>
      </w:r>
      <w:r>
        <w:rPr>
          <w:lang w:val="pl-PL"/>
        </w:rPr>
        <w:t>ịa bàn tỉnh Tuyên Quang.</w:t>
      </w:r>
    </w:p>
    <w:p w:rsidR="00146EDC" w:rsidRDefault="0005651D" w:rsidP="00624203">
      <w:pPr>
        <w:spacing w:before="120" w:after="120"/>
        <w:ind w:firstLine="567"/>
        <w:jc w:val="both"/>
        <w:rPr>
          <w:b/>
          <w:lang w:val="pl-PL"/>
        </w:rPr>
      </w:pPr>
      <w:r>
        <w:rPr>
          <w:b/>
          <w:lang w:val="pl-PL"/>
        </w:rPr>
        <w:t>V</w:t>
      </w:r>
      <w:r w:rsidR="00146EDC" w:rsidRPr="001A5BDD">
        <w:rPr>
          <w:b/>
          <w:lang w:val="pl-PL"/>
        </w:rPr>
        <w:t xml:space="preserve">. DỰ KIẾN NGUỒN LỰC, </w:t>
      </w:r>
      <w:r w:rsidR="00146EDC" w:rsidRPr="001A5BDD">
        <w:rPr>
          <w:rFonts w:hint="eastAsia"/>
          <w:b/>
          <w:lang w:val="pl-PL"/>
        </w:rPr>
        <w:t>Đ</w:t>
      </w:r>
      <w:r w:rsidR="00146EDC" w:rsidRPr="001A5BDD">
        <w:rPr>
          <w:b/>
          <w:lang w:val="pl-PL"/>
        </w:rPr>
        <w:t xml:space="preserve">IỀU KIỆN BẢO </w:t>
      </w:r>
      <w:r w:rsidR="00146EDC" w:rsidRPr="001A5BDD">
        <w:rPr>
          <w:rFonts w:hint="eastAsia"/>
          <w:b/>
          <w:lang w:val="pl-PL"/>
        </w:rPr>
        <w:t>Đ</w:t>
      </w:r>
      <w:r w:rsidR="00146EDC" w:rsidRPr="001A5BDD">
        <w:rPr>
          <w:b/>
          <w:lang w:val="pl-PL"/>
        </w:rPr>
        <w:t>ẢM CHO VIỆC THI HÀNH V</w:t>
      </w:r>
      <w:r w:rsidR="00146EDC" w:rsidRPr="001A5BDD">
        <w:rPr>
          <w:rFonts w:hint="eastAsia"/>
          <w:b/>
          <w:lang w:val="pl-PL"/>
        </w:rPr>
        <w:t>Ă</w:t>
      </w:r>
      <w:r>
        <w:rPr>
          <w:b/>
          <w:lang w:val="pl-PL"/>
        </w:rPr>
        <w:t>N BẢN VÀ THỜI GIAN TRÌNH BAN HÀNH</w:t>
      </w:r>
    </w:p>
    <w:p w:rsidR="00146EDC" w:rsidRDefault="0005651D" w:rsidP="00624203">
      <w:pPr>
        <w:spacing w:before="120" w:after="120"/>
        <w:ind w:firstLine="567"/>
        <w:jc w:val="both"/>
        <w:rPr>
          <w:lang w:val="pl-PL"/>
        </w:rPr>
      </w:pPr>
      <w:r>
        <w:rPr>
          <w:lang w:val="pl-PL"/>
        </w:rPr>
        <w:t>1.</w:t>
      </w:r>
      <w:r w:rsidR="00146EDC">
        <w:rPr>
          <w:lang w:val="pl-PL"/>
        </w:rPr>
        <w:t xml:space="preserve"> Chủ sở hữu vận hành hồ chứa quặng đuôi chịu trách nhiệm khắc phục sự cố, đền bù thiệt hại về người và tài sản (nếu có) do sự cố hồ chứa quặng đuôi gây ra.</w:t>
      </w:r>
    </w:p>
    <w:p w:rsidR="00146EDC" w:rsidRDefault="00146EDC" w:rsidP="00624203">
      <w:pPr>
        <w:spacing w:before="120" w:after="120"/>
        <w:ind w:firstLine="567"/>
        <w:jc w:val="both"/>
        <w:rPr>
          <w:lang w:val="pl-PL"/>
        </w:rPr>
      </w:pPr>
      <w:r>
        <w:rPr>
          <w:lang w:val="pl-PL"/>
        </w:rPr>
        <w:t>Các cơ quan quản lý nhà nước, tổ chức, cá nhân có liên quan có trách nhiệm phối hợp khắc phục sự cố theo Quy chế.</w:t>
      </w:r>
    </w:p>
    <w:p w:rsidR="0005651D" w:rsidRDefault="0005651D" w:rsidP="00624203">
      <w:pPr>
        <w:spacing w:before="120" w:after="120"/>
        <w:ind w:firstLine="567"/>
        <w:jc w:val="both"/>
        <w:rPr>
          <w:lang w:val="pl-PL"/>
        </w:rPr>
      </w:pPr>
      <w:r>
        <w:rPr>
          <w:lang w:val="pl-PL"/>
        </w:rPr>
        <w:t>2. Sau khi tiếp thu ý kiến chỉ đạo của Uỷ ban nhân dân tỉnh, ý kiến thẩm định của Sở Tư pháp và hoàn thiện hồ sơ dự thảo theo quy định. Sở Công Thương trình Uỷ ban nhân dân tỉnh xem xét, ban hành trong tháng 5 năm 2026.</w:t>
      </w:r>
    </w:p>
    <w:p w:rsidR="0005651D" w:rsidRPr="0005651D" w:rsidRDefault="0005651D" w:rsidP="00624203">
      <w:pPr>
        <w:spacing w:before="120" w:after="120"/>
        <w:ind w:firstLine="567"/>
        <w:jc w:val="both"/>
        <w:rPr>
          <w:i/>
        </w:rPr>
      </w:pPr>
      <w:r w:rsidRPr="0005651D">
        <w:rPr>
          <w:i/>
        </w:rPr>
        <w:t xml:space="preserve">(1) Dự thảo Quyết định ban hành Quy chế phối hợp ứng phó sự cố hồ chứa quặng đuôi trong hoạt động khai thác và chế biến khoáng sản trên địa bàn tỉnh Tuyên Quang . </w:t>
      </w:r>
    </w:p>
    <w:p w:rsidR="0005651D" w:rsidRPr="0005651D" w:rsidRDefault="0005651D" w:rsidP="00624203">
      <w:pPr>
        <w:spacing w:before="120" w:after="120"/>
        <w:ind w:firstLine="567"/>
        <w:jc w:val="both"/>
        <w:rPr>
          <w:i/>
        </w:rPr>
      </w:pPr>
      <w:r>
        <w:rPr>
          <w:i/>
        </w:rPr>
        <w:t>(2</w:t>
      </w:r>
      <w:r w:rsidRPr="0005651D">
        <w:rPr>
          <w:i/>
        </w:rPr>
        <w:t xml:space="preserve">) Bản so sánh, thuyết minh nội dung dự thảo. </w:t>
      </w:r>
    </w:p>
    <w:p w:rsidR="0005651D" w:rsidRPr="0005651D" w:rsidRDefault="007C2958" w:rsidP="00624203">
      <w:pPr>
        <w:spacing w:before="120" w:after="120"/>
        <w:ind w:firstLine="567"/>
        <w:jc w:val="both"/>
        <w:rPr>
          <w:i/>
        </w:rPr>
      </w:pPr>
      <w:r>
        <w:rPr>
          <w:i/>
        </w:rPr>
        <w:t>(3</w:t>
      </w:r>
      <w:r w:rsidR="0005651D" w:rsidRPr="0005651D">
        <w:rPr>
          <w:i/>
        </w:rPr>
        <w:t>) Bản tổng hợp, tiếp thu, giải trình ý</w:t>
      </w:r>
      <w:r>
        <w:rPr>
          <w:i/>
        </w:rPr>
        <w:t xml:space="preserve"> kiến góp ý của các cơ quan đơn vị.</w:t>
      </w:r>
    </w:p>
    <w:p w:rsidR="0005651D" w:rsidRPr="0005651D" w:rsidRDefault="007C2958" w:rsidP="00624203">
      <w:pPr>
        <w:spacing w:before="120" w:after="120"/>
        <w:ind w:firstLine="567"/>
        <w:jc w:val="both"/>
        <w:rPr>
          <w:i/>
        </w:rPr>
      </w:pPr>
      <w:r>
        <w:rPr>
          <w:i/>
        </w:rPr>
        <w:t>(4</w:t>
      </w:r>
      <w:r w:rsidR="0005651D" w:rsidRPr="0005651D">
        <w:rPr>
          <w:i/>
        </w:rPr>
        <w:t xml:space="preserve">) Báo cáo thẩm định của Sở Tư pháp. </w:t>
      </w:r>
    </w:p>
    <w:p w:rsidR="00146EDC" w:rsidRDefault="007C2958" w:rsidP="00624203">
      <w:pPr>
        <w:spacing w:before="120" w:after="120"/>
        <w:ind w:firstLine="567"/>
        <w:jc w:val="both"/>
        <w:rPr>
          <w:i/>
        </w:rPr>
      </w:pPr>
      <w:r>
        <w:rPr>
          <w:i/>
        </w:rPr>
        <w:t>(5</w:t>
      </w:r>
      <w:r w:rsidR="0005651D" w:rsidRPr="0005651D">
        <w:rPr>
          <w:i/>
        </w:rPr>
        <w:t>) Báo cáo giải trình, tiếp thu ý kiến thẩm định của Sở Tư pháp./</w:t>
      </w:r>
    </w:p>
    <w:tbl>
      <w:tblPr>
        <w:tblW w:w="9428" w:type="dxa"/>
        <w:jc w:val="center"/>
        <w:tblLook w:val="01E0" w:firstRow="1" w:lastRow="1" w:firstColumn="1" w:lastColumn="1" w:noHBand="0" w:noVBand="0"/>
      </w:tblPr>
      <w:tblGrid>
        <w:gridCol w:w="3919"/>
        <w:gridCol w:w="5509"/>
      </w:tblGrid>
      <w:tr w:rsidR="007C2958" w:rsidRPr="00CE5354" w:rsidTr="00406824">
        <w:trPr>
          <w:trHeight w:val="295"/>
          <w:jc w:val="center"/>
        </w:trPr>
        <w:tc>
          <w:tcPr>
            <w:tcW w:w="3919" w:type="dxa"/>
          </w:tcPr>
          <w:p w:rsidR="007C2958" w:rsidRPr="00CE5354" w:rsidRDefault="007C2958" w:rsidP="00406824">
            <w:pPr>
              <w:jc w:val="both"/>
              <w:rPr>
                <w:sz w:val="24"/>
                <w:szCs w:val="24"/>
                <w:highlight w:val="yellow"/>
                <w:lang w:val="nl-NL"/>
              </w:rPr>
            </w:pPr>
            <w:r w:rsidRPr="00CE5354">
              <w:rPr>
                <w:b/>
                <w:i/>
                <w:sz w:val="24"/>
                <w:szCs w:val="24"/>
                <w:lang w:val="nl-NL"/>
              </w:rPr>
              <w:t>Nơi nhận:</w:t>
            </w:r>
          </w:p>
        </w:tc>
        <w:tc>
          <w:tcPr>
            <w:tcW w:w="5509" w:type="dxa"/>
            <w:vMerge w:val="restart"/>
          </w:tcPr>
          <w:p w:rsidR="007C2958" w:rsidRPr="00CE5354" w:rsidRDefault="007C2958" w:rsidP="00406824">
            <w:pPr>
              <w:ind w:firstLine="567"/>
              <w:jc w:val="center"/>
              <w:rPr>
                <w:b/>
                <w:lang w:val="es-VE"/>
              </w:rPr>
            </w:pPr>
            <w:r w:rsidRPr="00CE5354">
              <w:rPr>
                <w:b/>
                <w:lang w:val="es-VE"/>
              </w:rPr>
              <w:t>GIÁM ĐỐC</w:t>
            </w:r>
          </w:p>
          <w:p w:rsidR="007C2958" w:rsidRPr="00CE5354" w:rsidRDefault="007C2958" w:rsidP="00406824">
            <w:pPr>
              <w:ind w:firstLine="567"/>
              <w:jc w:val="center"/>
              <w:rPr>
                <w:b/>
                <w:sz w:val="20"/>
                <w:lang w:val="nl-NL"/>
              </w:rPr>
            </w:pPr>
          </w:p>
          <w:p w:rsidR="007C2958" w:rsidRPr="00CE5354" w:rsidRDefault="007C2958" w:rsidP="00406824">
            <w:pPr>
              <w:ind w:firstLine="567"/>
              <w:jc w:val="center"/>
              <w:rPr>
                <w:b/>
                <w:sz w:val="20"/>
                <w:lang w:val="nl-NL"/>
              </w:rPr>
            </w:pPr>
          </w:p>
          <w:p w:rsidR="007C2958" w:rsidRDefault="007C2958" w:rsidP="00406824">
            <w:pPr>
              <w:ind w:firstLine="567"/>
              <w:jc w:val="center"/>
              <w:rPr>
                <w:b/>
                <w:bCs/>
                <w:sz w:val="36"/>
                <w:lang w:val="nl-NL"/>
              </w:rPr>
            </w:pPr>
          </w:p>
          <w:p w:rsidR="007C2958" w:rsidRDefault="007C2958" w:rsidP="00406824">
            <w:pPr>
              <w:ind w:firstLine="567"/>
              <w:jc w:val="center"/>
              <w:rPr>
                <w:b/>
                <w:bCs/>
                <w:sz w:val="36"/>
                <w:lang w:val="nl-NL"/>
              </w:rPr>
            </w:pPr>
          </w:p>
          <w:p w:rsidR="007C2958" w:rsidRDefault="007C2958" w:rsidP="00406824">
            <w:pPr>
              <w:ind w:firstLine="567"/>
              <w:jc w:val="center"/>
              <w:rPr>
                <w:b/>
                <w:bCs/>
                <w:sz w:val="36"/>
                <w:lang w:val="nl-NL"/>
              </w:rPr>
            </w:pPr>
          </w:p>
          <w:p w:rsidR="007C2958" w:rsidRPr="00CE5354" w:rsidRDefault="007C2958" w:rsidP="00406824">
            <w:pPr>
              <w:ind w:firstLine="567"/>
              <w:jc w:val="center"/>
              <w:rPr>
                <w:highlight w:val="yellow"/>
                <w:lang w:val="nl-NL"/>
              </w:rPr>
            </w:pPr>
            <w:r w:rsidRPr="00CE5354">
              <w:rPr>
                <w:b/>
                <w:bCs/>
              </w:rPr>
              <w:t>Hoàng Anh Cương</w:t>
            </w:r>
          </w:p>
        </w:tc>
      </w:tr>
      <w:tr w:rsidR="007C2958" w:rsidRPr="00CE5354" w:rsidTr="00406824">
        <w:trPr>
          <w:trHeight w:val="282"/>
          <w:jc w:val="center"/>
        </w:trPr>
        <w:tc>
          <w:tcPr>
            <w:tcW w:w="3919" w:type="dxa"/>
          </w:tcPr>
          <w:p w:rsidR="007C2958" w:rsidRDefault="007C2958" w:rsidP="00406824">
            <w:pPr>
              <w:rPr>
                <w:sz w:val="22"/>
                <w:szCs w:val="24"/>
                <w:lang w:val="nl-NL"/>
              </w:rPr>
            </w:pPr>
            <w:r w:rsidRPr="00CE5354">
              <w:rPr>
                <w:sz w:val="22"/>
                <w:szCs w:val="24"/>
                <w:lang w:val="nl-NL"/>
              </w:rPr>
              <w:t xml:space="preserve">- </w:t>
            </w:r>
            <w:r>
              <w:rPr>
                <w:sz w:val="22"/>
                <w:szCs w:val="24"/>
                <w:lang w:val="nl-NL"/>
              </w:rPr>
              <w:t>Như trên (kính trình)</w:t>
            </w:r>
            <w:r w:rsidRPr="00CE5354">
              <w:rPr>
                <w:sz w:val="22"/>
                <w:szCs w:val="24"/>
                <w:lang w:val="nl-NL"/>
              </w:rPr>
              <w:t>;</w:t>
            </w:r>
            <w:r>
              <w:rPr>
                <w:sz w:val="22"/>
                <w:szCs w:val="24"/>
                <w:lang w:val="nl-NL"/>
              </w:rPr>
              <w:t xml:space="preserve"> </w:t>
            </w:r>
          </w:p>
        </w:tc>
        <w:tc>
          <w:tcPr>
            <w:tcW w:w="5509" w:type="dxa"/>
            <w:vMerge/>
          </w:tcPr>
          <w:p w:rsidR="007C2958" w:rsidRPr="00CE5354" w:rsidRDefault="007C2958" w:rsidP="00406824">
            <w:pPr>
              <w:jc w:val="center"/>
              <w:rPr>
                <w:highlight w:val="yellow"/>
                <w:lang w:val="nl-NL"/>
              </w:rPr>
            </w:pPr>
          </w:p>
        </w:tc>
      </w:tr>
      <w:tr w:rsidR="007C2958" w:rsidRPr="00CE5354" w:rsidTr="00406824">
        <w:trPr>
          <w:trHeight w:val="282"/>
          <w:jc w:val="center"/>
        </w:trPr>
        <w:tc>
          <w:tcPr>
            <w:tcW w:w="3919" w:type="dxa"/>
          </w:tcPr>
          <w:p w:rsidR="007C2958" w:rsidRPr="00CE5354" w:rsidRDefault="007C2958" w:rsidP="00406824">
            <w:pPr>
              <w:rPr>
                <w:sz w:val="22"/>
                <w:szCs w:val="24"/>
                <w:lang w:val="nl-NL"/>
              </w:rPr>
            </w:pPr>
            <w:r>
              <w:rPr>
                <w:sz w:val="22"/>
                <w:szCs w:val="24"/>
                <w:lang w:val="nl-NL"/>
              </w:rPr>
              <w:t>- Sở Tư pháp;</w:t>
            </w:r>
          </w:p>
        </w:tc>
        <w:tc>
          <w:tcPr>
            <w:tcW w:w="5509" w:type="dxa"/>
            <w:vMerge/>
          </w:tcPr>
          <w:p w:rsidR="007C2958" w:rsidRPr="00CE5354" w:rsidRDefault="007C2958" w:rsidP="00406824">
            <w:pPr>
              <w:jc w:val="center"/>
              <w:rPr>
                <w:highlight w:val="yellow"/>
                <w:lang w:val="nl-NL"/>
              </w:rPr>
            </w:pPr>
          </w:p>
        </w:tc>
      </w:tr>
      <w:tr w:rsidR="007C2958" w:rsidRPr="00CE5354" w:rsidTr="00406824">
        <w:trPr>
          <w:trHeight w:val="282"/>
          <w:jc w:val="center"/>
        </w:trPr>
        <w:tc>
          <w:tcPr>
            <w:tcW w:w="3919" w:type="dxa"/>
          </w:tcPr>
          <w:p w:rsidR="007C2958" w:rsidRDefault="007C2958" w:rsidP="00406824">
            <w:pPr>
              <w:rPr>
                <w:sz w:val="22"/>
                <w:szCs w:val="24"/>
                <w:lang w:val="nl-NL"/>
              </w:rPr>
            </w:pPr>
            <w:r>
              <w:rPr>
                <w:sz w:val="22"/>
                <w:szCs w:val="24"/>
                <w:lang w:val="nl-NL"/>
              </w:rPr>
              <w:t>- Lãnh đạo Sở;</w:t>
            </w:r>
          </w:p>
          <w:p w:rsidR="007C2958" w:rsidRPr="003D3744" w:rsidRDefault="007C2958" w:rsidP="00406824">
            <w:pPr>
              <w:rPr>
                <w:sz w:val="22"/>
                <w:szCs w:val="24"/>
                <w:lang w:val="vi-VN"/>
              </w:rPr>
            </w:pPr>
            <w:r>
              <w:rPr>
                <w:sz w:val="22"/>
                <w:szCs w:val="24"/>
                <w:lang w:val="vi-VN"/>
              </w:rPr>
              <w:t>- Văn phòng Sở;</w:t>
            </w:r>
          </w:p>
        </w:tc>
        <w:tc>
          <w:tcPr>
            <w:tcW w:w="5509" w:type="dxa"/>
            <w:vMerge/>
          </w:tcPr>
          <w:p w:rsidR="007C2958" w:rsidRPr="00CE5354" w:rsidRDefault="007C2958" w:rsidP="00406824">
            <w:pPr>
              <w:jc w:val="center"/>
              <w:rPr>
                <w:highlight w:val="yellow"/>
                <w:lang w:val="nl-NL"/>
              </w:rPr>
            </w:pPr>
          </w:p>
        </w:tc>
      </w:tr>
      <w:tr w:rsidR="007C2958" w:rsidRPr="00CE5354" w:rsidTr="00406824">
        <w:trPr>
          <w:trHeight w:val="282"/>
          <w:jc w:val="center"/>
        </w:trPr>
        <w:tc>
          <w:tcPr>
            <w:tcW w:w="3919" w:type="dxa"/>
          </w:tcPr>
          <w:p w:rsidR="007C2958" w:rsidRPr="00CE5354" w:rsidRDefault="007C2958" w:rsidP="00406824">
            <w:pPr>
              <w:rPr>
                <w:sz w:val="22"/>
                <w:szCs w:val="24"/>
                <w:lang w:val="nl-NL"/>
              </w:rPr>
            </w:pPr>
            <w:r w:rsidRPr="00CE5354">
              <w:rPr>
                <w:sz w:val="22"/>
                <w:szCs w:val="24"/>
                <w:lang w:val="nl-NL"/>
              </w:rPr>
              <w:t xml:space="preserve">- Lưu: VT, </w:t>
            </w:r>
            <w:r>
              <w:rPr>
                <w:sz w:val="22"/>
                <w:szCs w:val="24"/>
                <w:lang w:val="nl-NL"/>
              </w:rPr>
              <w:t>CN</w:t>
            </w:r>
            <w:r>
              <w:rPr>
                <w:sz w:val="22"/>
                <w:szCs w:val="22"/>
                <w:lang w:val="nl-NL"/>
              </w:rPr>
              <w:t xml:space="preserve"> (Phú)</w:t>
            </w:r>
            <w:r w:rsidRPr="00A14851">
              <w:rPr>
                <w:sz w:val="22"/>
                <w:szCs w:val="22"/>
                <w:lang w:val="nl-NL"/>
              </w:rPr>
              <w:t>.</w:t>
            </w:r>
          </w:p>
        </w:tc>
        <w:tc>
          <w:tcPr>
            <w:tcW w:w="5509" w:type="dxa"/>
            <w:vMerge/>
          </w:tcPr>
          <w:p w:rsidR="007C2958" w:rsidRPr="00CE5354" w:rsidRDefault="007C2958" w:rsidP="00406824">
            <w:pPr>
              <w:jc w:val="center"/>
              <w:rPr>
                <w:highlight w:val="yellow"/>
                <w:lang w:val="nl-NL"/>
              </w:rPr>
            </w:pPr>
          </w:p>
        </w:tc>
      </w:tr>
      <w:tr w:rsidR="007C2958" w:rsidRPr="00CE5354" w:rsidTr="00406824">
        <w:trPr>
          <w:trHeight w:val="848"/>
          <w:jc w:val="center"/>
        </w:trPr>
        <w:tc>
          <w:tcPr>
            <w:tcW w:w="3919" w:type="dxa"/>
          </w:tcPr>
          <w:p w:rsidR="007C2958" w:rsidRPr="00CE5354" w:rsidRDefault="007C2958" w:rsidP="00406824">
            <w:pPr>
              <w:jc w:val="both"/>
              <w:rPr>
                <w:sz w:val="24"/>
                <w:szCs w:val="24"/>
                <w:lang w:val="nl-NL"/>
              </w:rPr>
            </w:pPr>
          </w:p>
        </w:tc>
        <w:tc>
          <w:tcPr>
            <w:tcW w:w="5509" w:type="dxa"/>
            <w:vMerge/>
          </w:tcPr>
          <w:p w:rsidR="007C2958" w:rsidRPr="00CE5354" w:rsidRDefault="007C2958" w:rsidP="00406824">
            <w:pPr>
              <w:jc w:val="center"/>
              <w:rPr>
                <w:lang w:val="nl-NL"/>
              </w:rPr>
            </w:pPr>
          </w:p>
        </w:tc>
      </w:tr>
    </w:tbl>
    <w:p w:rsidR="007C2958" w:rsidRDefault="007C2958" w:rsidP="00146EDC">
      <w:pPr>
        <w:spacing w:before="60" w:after="60"/>
        <w:ind w:firstLine="567"/>
        <w:jc w:val="both"/>
      </w:pPr>
    </w:p>
    <w:p w:rsidR="007C2958" w:rsidRPr="007C2958" w:rsidRDefault="007C2958" w:rsidP="00146EDC">
      <w:pPr>
        <w:spacing w:before="60" w:after="60"/>
        <w:ind w:firstLine="567"/>
        <w:jc w:val="both"/>
        <w:rPr>
          <w:lang w:val="pl-PL"/>
        </w:rPr>
      </w:pPr>
    </w:p>
    <w:p w:rsidR="00EE7906" w:rsidRDefault="0066001F"/>
    <w:sectPr w:rsidR="00EE7906" w:rsidSect="00146EDC">
      <w:headerReference w:type="default" r:id="rId6"/>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01F" w:rsidRDefault="0066001F" w:rsidP="00146EDC">
      <w:r>
        <w:separator/>
      </w:r>
    </w:p>
  </w:endnote>
  <w:endnote w:type="continuationSeparator" w:id="0">
    <w:p w:rsidR="0066001F" w:rsidRDefault="0066001F" w:rsidP="0014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ld">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01F" w:rsidRDefault="0066001F" w:rsidP="00146EDC">
      <w:r>
        <w:separator/>
      </w:r>
    </w:p>
  </w:footnote>
  <w:footnote w:type="continuationSeparator" w:id="0">
    <w:p w:rsidR="0066001F" w:rsidRDefault="0066001F" w:rsidP="00146E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037462"/>
      <w:docPartObj>
        <w:docPartGallery w:val="Page Numbers (Top of Page)"/>
        <w:docPartUnique/>
      </w:docPartObj>
    </w:sdtPr>
    <w:sdtEndPr>
      <w:rPr>
        <w:noProof/>
      </w:rPr>
    </w:sdtEndPr>
    <w:sdtContent>
      <w:p w:rsidR="00146EDC" w:rsidRDefault="00146EDC">
        <w:pPr>
          <w:pStyle w:val="Header"/>
          <w:jc w:val="center"/>
        </w:pPr>
        <w:r>
          <w:fldChar w:fldCharType="begin"/>
        </w:r>
        <w:r>
          <w:instrText xml:space="preserve"> PAGE   \* MERGEFORMAT </w:instrText>
        </w:r>
        <w:r>
          <w:fldChar w:fldCharType="separate"/>
        </w:r>
        <w:r w:rsidR="00624203">
          <w:rPr>
            <w:noProof/>
          </w:rPr>
          <w:t>4</w:t>
        </w:r>
        <w:r>
          <w:rPr>
            <w:noProof/>
          </w:rPr>
          <w:fldChar w:fldCharType="end"/>
        </w:r>
      </w:p>
    </w:sdtContent>
  </w:sdt>
  <w:p w:rsidR="00146EDC" w:rsidRDefault="00146E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DC"/>
    <w:rsid w:val="0005651D"/>
    <w:rsid w:val="00146EDC"/>
    <w:rsid w:val="001871B1"/>
    <w:rsid w:val="001E43AB"/>
    <w:rsid w:val="00354F17"/>
    <w:rsid w:val="0038192F"/>
    <w:rsid w:val="004B7748"/>
    <w:rsid w:val="004B77C9"/>
    <w:rsid w:val="00624203"/>
    <w:rsid w:val="0066001F"/>
    <w:rsid w:val="007C2958"/>
    <w:rsid w:val="008B183C"/>
    <w:rsid w:val="008E766E"/>
    <w:rsid w:val="00A12BFB"/>
    <w:rsid w:val="00E35B47"/>
    <w:rsid w:val="00E70743"/>
    <w:rsid w:val="00EA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F432"/>
  <w15:chartTrackingRefBased/>
  <w15:docId w15:val="{74EAB204-F7CB-4322-A21B-AA07E528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EDC"/>
    <w:pPr>
      <w:spacing w:after="0" w:line="240" w:lineRule="auto"/>
    </w:pPr>
    <w:rPr>
      <w:rFonts w:eastAsia="Times New Roman" w:cs="Times New Roman"/>
      <w:szCs w:val="28"/>
    </w:rPr>
  </w:style>
  <w:style w:type="paragraph" w:styleId="Heading1">
    <w:name w:val="heading 1"/>
    <w:basedOn w:val="Normal"/>
    <w:next w:val="Normal"/>
    <w:link w:val="Heading1Char"/>
    <w:qFormat/>
    <w:rsid w:val="00146EDC"/>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EDC"/>
    <w:rPr>
      <w:rFonts w:ascii="Calibri Light" w:eastAsia="Times New Roman" w:hAnsi="Calibri Light" w:cs="Times New Roman"/>
      <w:b/>
      <w:bCs/>
      <w:kern w:val="32"/>
      <w:sz w:val="32"/>
      <w:szCs w:val="32"/>
    </w:rPr>
  </w:style>
  <w:style w:type="character" w:customStyle="1" w:styleId="BodyTextChar">
    <w:name w:val="Body Text Char"/>
    <w:link w:val="BodyText"/>
    <w:locked/>
    <w:rsid w:val="00146EDC"/>
    <w:rPr>
      <w:szCs w:val="28"/>
    </w:rPr>
  </w:style>
  <w:style w:type="paragraph" w:styleId="BodyText">
    <w:name w:val="Body Text"/>
    <w:basedOn w:val="Normal"/>
    <w:link w:val="BodyTextChar"/>
    <w:rsid w:val="00146EDC"/>
    <w:pPr>
      <w:jc w:val="both"/>
    </w:pPr>
    <w:rPr>
      <w:rFonts w:eastAsiaTheme="minorHAnsi" w:cstheme="minorBidi"/>
    </w:rPr>
  </w:style>
  <w:style w:type="character" w:customStyle="1" w:styleId="BodyTextChar1">
    <w:name w:val="Body Text Char1"/>
    <w:basedOn w:val="DefaultParagraphFont"/>
    <w:uiPriority w:val="99"/>
    <w:semiHidden/>
    <w:rsid w:val="00146EDC"/>
    <w:rPr>
      <w:rFonts w:eastAsia="Times New Roman" w:cs="Times New Roman"/>
      <w:szCs w:val="28"/>
    </w:rPr>
  </w:style>
  <w:style w:type="character" w:customStyle="1" w:styleId="Vnbnnidung">
    <w:name w:val="Văn bản nội dung_"/>
    <w:link w:val="Vnbnnidung0"/>
    <w:uiPriority w:val="99"/>
    <w:locked/>
    <w:rsid w:val="00146EDC"/>
    <w:rPr>
      <w:sz w:val="26"/>
      <w:szCs w:val="26"/>
    </w:rPr>
  </w:style>
  <w:style w:type="paragraph" w:customStyle="1" w:styleId="Vnbnnidung0">
    <w:name w:val="Văn bản nội dung"/>
    <w:basedOn w:val="Normal"/>
    <w:link w:val="Vnbnnidung"/>
    <w:uiPriority w:val="99"/>
    <w:rsid w:val="00146EDC"/>
    <w:pPr>
      <w:widowControl w:val="0"/>
      <w:spacing w:after="220" w:line="259" w:lineRule="auto"/>
      <w:ind w:firstLine="400"/>
    </w:pPr>
    <w:rPr>
      <w:rFonts w:eastAsiaTheme="minorHAnsi" w:cstheme="minorBidi"/>
      <w:sz w:val="26"/>
      <w:szCs w:val="26"/>
    </w:rPr>
  </w:style>
  <w:style w:type="paragraph" w:styleId="Header">
    <w:name w:val="header"/>
    <w:basedOn w:val="Normal"/>
    <w:link w:val="HeaderChar"/>
    <w:uiPriority w:val="99"/>
    <w:unhideWhenUsed/>
    <w:rsid w:val="00146EDC"/>
    <w:pPr>
      <w:tabs>
        <w:tab w:val="center" w:pos="4680"/>
        <w:tab w:val="right" w:pos="9360"/>
      </w:tabs>
    </w:pPr>
  </w:style>
  <w:style w:type="character" w:customStyle="1" w:styleId="HeaderChar">
    <w:name w:val="Header Char"/>
    <w:basedOn w:val="DefaultParagraphFont"/>
    <w:link w:val="Header"/>
    <w:uiPriority w:val="99"/>
    <w:rsid w:val="00146EDC"/>
    <w:rPr>
      <w:rFonts w:eastAsia="Times New Roman" w:cs="Times New Roman"/>
      <w:szCs w:val="28"/>
    </w:rPr>
  </w:style>
  <w:style w:type="paragraph" w:styleId="Footer">
    <w:name w:val="footer"/>
    <w:basedOn w:val="Normal"/>
    <w:link w:val="FooterChar"/>
    <w:uiPriority w:val="99"/>
    <w:unhideWhenUsed/>
    <w:rsid w:val="00146EDC"/>
    <w:pPr>
      <w:tabs>
        <w:tab w:val="center" w:pos="4680"/>
        <w:tab w:val="right" w:pos="9360"/>
      </w:tabs>
    </w:pPr>
  </w:style>
  <w:style w:type="character" w:customStyle="1" w:styleId="FooterChar">
    <w:name w:val="Footer Char"/>
    <w:basedOn w:val="DefaultParagraphFont"/>
    <w:link w:val="Footer"/>
    <w:uiPriority w:val="99"/>
    <w:rsid w:val="00146EDC"/>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SHARPKIEM</dc:creator>
  <cp:keywords/>
  <dc:description/>
  <cp:lastModifiedBy>SHARPKIEM</cp:lastModifiedBy>
  <cp:revision>6</cp:revision>
  <dcterms:created xsi:type="dcterms:W3CDTF">2024-12-17T03:53:00Z</dcterms:created>
  <dcterms:modified xsi:type="dcterms:W3CDTF">2026-03-31T03:32:00Z</dcterms:modified>
</cp:coreProperties>
</file>