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D90" w:rsidRPr="00F67D90" w:rsidRDefault="00E710B5" w:rsidP="00F67D90">
      <w:pPr>
        <w:jc w:val="center"/>
        <w:rPr>
          <w:b/>
        </w:rPr>
      </w:pPr>
      <w:r>
        <w:rPr>
          <w:b/>
        </w:rPr>
        <w:t>BI</w:t>
      </w:r>
      <w:r w:rsidRPr="00E710B5">
        <w:rPr>
          <w:b/>
        </w:rPr>
        <w:t>Ể</w:t>
      </w:r>
      <w:r>
        <w:rPr>
          <w:b/>
        </w:rPr>
        <w:t>U T</w:t>
      </w:r>
      <w:r w:rsidRPr="00E710B5">
        <w:rPr>
          <w:b/>
        </w:rPr>
        <w:t>Ổ</w:t>
      </w:r>
      <w:r>
        <w:rPr>
          <w:b/>
        </w:rPr>
        <w:t>NG H</w:t>
      </w:r>
      <w:r w:rsidRPr="00E710B5">
        <w:rPr>
          <w:b/>
        </w:rPr>
        <w:t>ỢP</w:t>
      </w:r>
    </w:p>
    <w:p w:rsidR="00F67D90" w:rsidRDefault="00F67D90" w:rsidP="00F67D90">
      <w:pPr>
        <w:spacing w:after="0"/>
        <w:jc w:val="center"/>
        <w:rPr>
          <w:b/>
        </w:rPr>
      </w:pPr>
      <w:r w:rsidRPr="00F67D90">
        <w:rPr>
          <w:b/>
        </w:rPr>
        <w:t xml:space="preserve">NHỮNG NỘI DUNG CHỦ YẾU SỬA ĐỔI, BỔ SUNG SO VỚI </w:t>
      </w:r>
    </w:p>
    <w:p w:rsidR="00645E2B" w:rsidRDefault="00F67D90" w:rsidP="00F67D90">
      <w:pPr>
        <w:spacing w:before="0"/>
        <w:jc w:val="center"/>
        <w:rPr>
          <w:b/>
        </w:rPr>
      </w:pPr>
      <w:r w:rsidRPr="00F67D90">
        <w:rPr>
          <w:b/>
        </w:rPr>
        <w:t>QUY CHẾ BAN HÀNH KÈM THEO QUYẾT ĐỊNH SỐ 1368/QĐ-UBND</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704"/>
        <w:gridCol w:w="3985"/>
        <w:gridCol w:w="5403"/>
        <w:gridCol w:w="4652"/>
      </w:tblGrid>
      <w:tr w:rsidR="00F67D90" w:rsidRPr="00F67D90" w:rsidTr="00D201B6">
        <w:trPr>
          <w:tblHeader/>
          <w:jc w:val="center"/>
        </w:trPr>
        <w:tc>
          <w:tcPr>
            <w:tcW w:w="704" w:type="dxa"/>
            <w:vAlign w:val="center"/>
            <w:hideMark/>
          </w:tcPr>
          <w:p w:rsidR="00F67D90" w:rsidRPr="00F67D90" w:rsidRDefault="00F67D90" w:rsidP="00D201B6">
            <w:pPr>
              <w:spacing w:before="60" w:after="60"/>
              <w:jc w:val="center"/>
              <w:rPr>
                <w:rFonts w:eastAsia="Times New Roman" w:cs="Times New Roman"/>
                <w:b/>
                <w:bCs/>
                <w:sz w:val="26"/>
                <w:szCs w:val="26"/>
              </w:rPr>
            </w:pPr>
            <w:r w:rsidRPr="00F67D90">
              <w:rPr>
                <w:rFonts w:eastAsia="Times New Roman" w:cs="Times New Roman"/>
                <w:b/>
                <w:bCs/>
                <w:sz w:val="26"/>
                <w:szCs w:val="26"/>
              </w:rPr>
              <w:t>STT</w:t>
            </w:r>
          </w:p>
        </w:tc>
        <w:tc>
          <w:tcPr>
            <w:tcW w:w="3985" w:type="dxa"/>
            <w:vAlign w:val="center"/>
            <w:hideMark/>
          </w:tcPr>
          <w:p w:rsidR="00F67D90" w:rsidRPr="00F67D90" w:rsidRDefault="00F67D90" w:rsidP="00D201B6">
            <w:pPr>
              <w:spacing w:before="60" w:after="60"/>
              <w:jc w:val="center"/>
              <w:rPr>
                <w:rFonts w:eastAsia="Times New Roman" w:cs="Times New Roman"/>
                <w:b/>
                <w:bCs/>
                <w:sz w:val="26"/>
                <w:szCs w:val="26"/>
              </w:rPr>
            </w:pPr>
            <w:r w:rsidRPr="00F67D90">
              <w:rPr>
                <w:rFonts w:eastAsia="Times New Roman" w:cs="Times New Roman"/>
                <w:b/>
                <w:bCs/>
                <w:sz w:val="26"/>
                <w:szCs w:val="26"/>
              </w:rPr>
              <w:t>Quy định hiện hành theo Quyết định số 1368/QĐ-UBND</w:t>
            </w:r>
          </w:p>
        </w:tc>
        <w:tc>
          <w:tcPr>
            <w:tcW w:w="5403" w:type="dxa"/>
            <w:vAlign w:val="center"/>
            <w:hideMark/>
          </w:tcPr>
          <w:p w:rsidR="00F67D90" w:rsidRPr="00F67D90" w:rsidRDefault="00F67D90" w:rsidP="00D201B6">
            <w:pPr>
              <w:spacing w:before="60" w:after="60"/>
              <w:jc w:val="center"/>
              <w:rPr>
                <w:rFonts w:eastAsia="Times New Roman" w:cs="Times New Roman"/>
                <w:b/>
                <w:bCs/>
                <w:sz w:val="26"/>
                <w:szCs w:val="26"/>
              </w:rPr>
            </w:pPr>
            <w:r w:rsidRPr="00F67D90">
              <w:rPr>
                <w:rFonts w:eastAsia="Times New Roman" w:cs="Times New Roman"/>
                <w:b/>
                <w:bCs/>
                <w:sz w:val="26"/>
                <w:szCs w:val="26"/>
              </w:rPr>
              <w:t>Nội dung sửa đổi,</w:t>
            </w:r>
            <w:bookmarkStart w:id="0" w:name="_GoBack"/>
            <w:bookmarkEnd w:id="0"/>
            <w:r w:rsidRPr="00F67D90">
              <w:rPr>
                <w:rFonts w:eastAsia="Times New Roman" w:cs="Times New Roman"/>
                <w:b/>
                <w:bCs/>
                <w:sz w:val="26"/>
                <w:szCs w:val="26"/>
              </w:rPr>
              <w:t xml:space="preserve"> bổ sung</w:t>
            </w:r>
          </w:p>
        </w:tc>
        <w:tc>
          <w:tcPr>
            <w:tcW w:w="4652" w:type="dxa"/>
            <w:vAlign w:val="center"/>
            <w:hideMark/>
          </w:tcPr>
          <w:p w:rsidR="00F67D90" w:rsidRPr="00F67D90" w:rsidRDefault="00F67D90" w:rsidP="00D201B6">
            <w:pPr>
              <w:spacing w:before="60" w:after="60"/>
              <w:jc w:val="center"/>
              <w:rPr>
                <w:rFonts w:eastAsia="Times New Roman" w:cs="Times New Roman"/>
                <w:b/>
                <w:bCs/>
                <w:sz w:val="26"/>
                <w:szCs w:val="26"/>
              </w:rPr>
            </w:pPr>
            <w:r w:rsidRPr="00F67D90">
              <w:rPr>
                <w:rFonts w:eastAsia="Times New Roman" w:cs="Times New Roman"/>
                <w:b/>
                <w:bCs/>
                <w:sz w:val="26"/>
                <w:szCs w:val="26"/>
              </w:rPr>
              <w:t>Lý do/căn cứ pháp lý</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1</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Quy định về nguyên tắc hoạt động, nguồn tài chính của Quỹ chưa làm rõ nguyên tắc ngân sách nhà nước không bảo đảm kinh phí hoạt động thường xuyên.</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 xml:space="preserve">Bổ sung nguyên tắc Quỹ hoạt động độc lập về tài chính trong phạm vi nguồn vốn hợp pháp; </w:t>
            </w:r>
            <w:r w:rsidRPr="00F67D90">
              <w:rPr>
                <w:rFonts w:eastAsia="Times New Roman" w:cs="Times New Roman"/>
                <w:b/>
                <w:bCs/>
                <w:sz w:val="26"/>
                <w:szCs w:val="26"/>
              </w:rPr>
              <w:t>ngân sách nhà nước không hỗ trợ kinh phí hoạt động thường xuyên, chỉ hỗ trợ vốn điều lệ khi được cấp có thẩm quyền quyết định</w:t>
            </w:r>
            <w:r w:rsidRPr="00F67D90">
              <w:rPr>
                <w:rFonts w:eastAsia="Times New Roman" w:cs="Times New Roman"/>
                <w:sz w:val="26"/>
                <w:szCs w:val="26"/>
              </w:rPr>
              <w:t>.</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Cập nhật quy định của Nghị định số 73/2026/NĐ-CP về cơ chế tài chính đối với quỹ tài chính nhà nước ngoài ngân sách.</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2</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Chưa phân định đầy đủ giữa vốn điều lệ, các nguồn vốn có mục đích riêng và nguồn thu của Quỹ.</w:t>
            </w:r>
          </w:p>
        </w:tc>
        <w:tc>
          <w:tcPr>
            <w:tcW w:w="5403" w:type="dxa"/>
            <w:vAlign w:val="center"/>
            <w:hideMark/>
          </w:tcPr>
          <w:p w:rsidR="00F67D90" w:rsidRPr="00F67D90" w:rsidRDefault="00F67D90" w:rsidP="00275780">
            <w:pPr>
              <w:spacing w:before="60" w:after="60"/>
              <w:rPr>
                <w:rFonts w:eastAsia="Times New Roman" w:cs="Times New Roman"/>
                <w:sz w:val="26"/>
                <w:szCs w:val="26"/>
              </w:rPr>
            </w:pPr>
            <w:r w:rsidRPr="00F67D90">
              <w:rPr>
                <w:rFonts w:eastAsia="Times New Roman" w:cs="Times New Roman"/>
                <w:sz w:val="26"/>
                <w:szCs w:val="26"/>
              </w:rPr>
              <w:t xml:space="preserve">Làm rõ vốn điều lệ do NSNN </w:t>
            </w:r>
            <w:r w:rsidR="00275780">
              <w:rPr>
                <w:rFonts w:eastAsia="Times New Roman" w:cs="Times New Roman"/>
                <w:sz w:val="26"/>
                <w:szCs w:val="26"/>
              </w:rPr>
              <w:t>c</w:t>
            </w:r>
            <w:r w:rsidR="00275780" w:rsidRPr="00275780">
              <w:rPr>
                <w:rFonts w:eastAsia="Times New Roman" w:cs="Times New Roman"/>
                <w:sz w:val="26"/>
                <w:szCs w:val="26"/>
              </w:rPr>
              <w:t>ấ</w:t>
            </w:r>
            <w:r w:rsidR="00275780">
              <w:rPr>
                <w:rFonts w:eastAsia="Times New Roman" w:cs="Times New Roman"/>
                <w:sz w:val="26"/>
                <w:szCs w:val="26"/>
              </w:rPr>
              <w:t>p</w:t>
            </w:r>
            <w:r w:rsidRPr="00F67D90">
              <w:rPr>
                <w:rFonts w:eastAsia="Times New Roman" w:cs="Times New Roman"/>
                <w:sz w:val="26"/>
                <w:szCs w:val="26"/>
              </w:rPr>
              <w:t xml:space="preserve">, vốn được giao thực hiện nhiệm vụ, vốn nhận ủy thác, tiền ký quỹ và các nguồn vốn có mục đích riêng </w:t>
            </w:r>
            <w:r w:rsidRPr="00F67D90">
              <w:rPr>
                <w:rFonts w:eastAsia="Times New Roman" w:cs="Times New Roman"/>
                <w:b/>
                <w:bCs/>
                <w:sz w:val="26"/>
                <w:szCs w:val="26"/>
              </w:rPr>
              <w:t>không phải là doanh thu để phân phối kết quả hoạt động</w:t>
            </w:r>
            <w:r w:rsidRPr="00F67D90">
              <w:rPr>
                <w:rFonts w:eastAsia="Times New Roman" w:cs="Times New Roman"/>
                <w:sz w:val="26"/>
                <w:szCs w:val="26"/>
              </w:rPr>
              <w:t>; thực hiện theo dõi, hạch toán riêng.</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Thống nhất với quy định mới về quản lý nguồn vốn và chế độ tài chính của quỹ tài chính nhà nước ngoài ngân sách.</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3</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Quy định về kế hoạch tài chính chưa cập nhật đầy đủ yêu cầu mới về lập, thực hiện và báo cáo kế hoạch tài chính.</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Bổ sung, chuẩn hóa nội dung kế hoạch tài chính: số dư nguồn vốn đầu kỳ; nguồn vốn, nguồn thu; nhiệm vụ chi; số dư cuối kỳ; trách nhiệm lập, báo cáo và tổ chức thực hiện.</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Nghị định số 73/2026/NĐ-CP và Thông tư số 26/2026/TT-BTC.</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4</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Quy định về nguồn thu trong kế hoạch tài chính chưa tách bạch rõ nguồn vốn và nguồn thu.</w:t>
            </w:r>
          </w:p>
        </w:tc>
        <w:tc>
          <w:tcPr>
            <w:tcW w:w="5403" w:type="dxa"/>
            <w:vAlign w:val="center"/>
            <w:hideMark/>
          </w:tcPr>
          <w:p w:rsidR="00F67D90" w:rsidRPr="00F67D90" w:rsidRDefault="00F67D90" w:rsidP="00275780">
            <w:pPr>
              <w:spacing w:before="60" w:after="60"/>
              <w:rPr>
                <w:rFonts w:eastAsia="Times New Roman" w:cs="Times New Roman"/>
                <w:sz w:val="26"/>
                <w:szCs w:val="26"/>
              </w:rPr>
            </w:pPr>
            <w:r w:rsidRPr="00F67D90">
              <w:rPr>
                <w:rFonts w:eastAsia="Times New Roman" w:cs="Times New Roman"/>
                <w:sz w:val="26"/>
                <w:szCs w:val="26"/>
              </w:rPr>
              <w:t xml:space="preserve">Tách </w:t>
            </w:r>
            <w:r w:rsidRPr="00F67D90">
              <w:rPr>
                <w:rFonts w:eastAsia="Times New Roman" w:cs="Times New Roman"/>
                <w:b/>
                <w:bCs/>
                <w:sz w:val="26"/>
                <w:szCs w:val="26"/>
              </w:rPr>
              <w:t>nguồn vốn</w:t>
            </w:r>
            <w:r w:rsidRPr="00F67D90">
              <w:rPr>
                <w:rFonts w:eastAsia="Times New Roman" w:cs="Times New Roman"/>
                <w:sz w:val="26"/>
                <w:szCs w:val="26"/>
              </w:rPr>
              <w:t xml:space="preserve"> và </w:t>
            </w:r>
            <w:r w:rsidRPr="00F67D90">
              <w:rPr>
                <w:rFonts w:eastAsia="Times New Roman" w:cs="Times New Roman"/>
                <w:b/>
                <w:bCs/>
                <w:sz w:val="26"/>
                <w:szCs w:val="26"/>
              </w:rPr>
              <w:t>nguồn thu</w:t>
            </w:r>
            <w:r w:rsidRPr="00F67D90">
              <w:rPr>
                <w:rFonts w:eastAsia="Times New Roman" w:cs="Times New Roman"/>
                <w:sz w:val="26"/>
                <w:szCs w:val="26"/>
              </w:rPr>
              <w:t xml:space="preserve">; vốn điều lệ do NSNN </w:t>
            </w:r>
            <w:r w:rsidR="00275780">
              <w:rPr>
                <w:rFonts w:eastAsia="Times New Roman" w:cs="Times New Roman"/>
                <w:sz w:val="26"/>
                <w:szCs w:val="26"/>
              </w:rPr>
              <w:t>c</w:t>
            </w:r>
            <w:r w:rsidR="00275780" w:rsidRPr="00275780">
              <w:rPr>
                <w:rFonts w:eastAsia="Times New Roman" w:cs="Times New Roman"/>
                <w:sz w:val="26"/>
                <w:szCs w:val="26"/>
              </w:rPr>
              <w:t>ấp</w:t>
            </w:r>
            <w:r w:rsidRPr="00F67D90">
              <w:rPr>
                <w:rFonts w:eastAsia="Times New Roman" w:cs="Times New Roman"/>
                <w:sz w:val="26"/>
                <w:szCs w:val="26"/>
              </w:rPr>
              <w:t xml:space="preserve"> được xác định là nguồn vốn, không tính vào doanh thu của Quỹ.</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Bảo đảm thống nhất giữa chế độ kế hoạch tài chính, kế toán và xác định kết quả hoạt động của Quỹ.</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5</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Quy định về báo cáo, công khai tài chính chưa đầy đủ, chưa cập nhật hệ thống biểu mẫu mới.</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 xml:space="preserve">Bổ sung trách nhiệm lập, gửi và công khai kế hoạch tài chính, tình hình thực hiện kế hoạch tài chính, </w:t>
            </w:r>
            <w:r w:rsidRPr="00F67D90">
              <w:rPr>
                <w:rFonts w:eastAsia="Times New Roman" w:cs="Times New Roman"/>
                <w:sz w:val="26"/>
                <w:szCs w:val="26"/>
              </w:rPr>
              <w:lastRenderedPageBreak/>
              <w:t>báo cáo tài chính, quyết toán và các báo cáo khác theo quy định.</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lastRenderedPageBreak/>
              <w:t>Thông tư số 26/2026/TT-BTC quy định về chế độ báo cáo, công khai và biểu mẫu đối với quỹ tài chính nhà nước ngoài ngân sách.</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lastRenderedPageBreak/>
              <w:t>6</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Quy định về quyết toán chưa phân định rõ giữa báo cáo tài chính của Quỹ và quyết toán phần vốn ngân sách nhà nước hỗ trợ.</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Quy định riêng về quản lý, hạch toán, báo cáo và quyết toán đố</w:t>
            </w:r>
            <w:r w:rsidR="00BD7572">
              <w:rPr>
                <w:rFonts w:eastAsia="Times New Roman" w:cs="Times New Roman"/>
                <w:sz w:val="26"/>
                <w:szCs w:val="26"/>
              </w:rPr>
              <w:t>i với vốn điều lệ do NSNN c</w:t>
            </w:r>
            <w:r w:rsidR="00BD7572" w:rsidRPr="00BD7572">
              <w:rPr>
                <w:rFonts w:eastAsia="Times New Roman" w:cs="Times New Roman"/>
                <w:sz w:val="26"/>
                <w:szCs w:val="26"/>
              </w:rPr>
              <w:t>ấ</w:t>
            </w:r>
            <w:r w:rsidR="00BD7572">
              <w:rPr>
                <w:rFonts w:eastAsia="Times New Roman" w:cs="Times New Roman"/>
                <w:sz w:val="26"/>
                <w:szCs w:val="26"/>
              </w:rPr>
              <w:t>p</w:t>
            </w:r>
            <w:r w:rsidRPr="00F67D90">
              <w:rPr>
                <w:rFonts w:eastAsia="Times New Roman" w:cs="Times New Roman"/>
                <w:sz w:val="26"/>
                <w:szCs w:val="26"/>
              </w:rPr>
              <w:t>; các nguồn vốn khác thực hiện theo chế độ tài chính, kế toán áp dụng đối với Quỹ.</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Thông tư số 59/2026/TT-BTC và Thông tư số 26/2026/TT-BTC.</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7</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Quy định về chế độ tài chính, kế toán và kiểm toán còn mang tính nguyên tắc chung.</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Hoàn thiện quy định về chế độ tài chính, kế toán, kiểm toán; theo dõi, hạch toán riêng các nguồn vốn có mục đích sử dụng riêng; quy định việc kiểm toán báo cáo tài chính theo pháp luật.</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Cập nhật quy định pháp luật mới về tài chính, kế toán, kiểm toán và quyết toán của quỹ tài chính nhà nước ngoài ngân sách.</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8</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Nhiệm vụ, quyền hạn của Ban Kiểm soát chưa gắn đầy đủ với yêu cầu kiểm tra, giám sát kế hoạch tài chính, báo cáo, quyết toán.</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Bổ sung, làm rõ nhiệm vụ kiểm tra, giám sát việc quản lý, sử dụng vốn, tài sản; thẩm tra báo cáo tài chính, phân phối chênh lệch thu - chi, trích lập các quỹ; báo cáo và kiến nghị biện pháp xử lý.</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Bảo đảm kiểm soát nội bộ, trách nhiệm giải trình và phù hợp với cơ chế quản lý tài chính mới.</w:t>
            </w:r>
          </w:p>
        </w:tc>
      </w:tr>
      <w:tr w:rsidR="00F67D90" w:rsidRPr="00F67D90" w:rsidTr="00D201B6">
        <w:trPr>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9</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Một số quy định về trách nhiệm của Hội đồng quản lý Quỹ, Giám đốc Quỹ và Ban Kiểm soát còn chưa phân định rõ.</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Rà soát, phân định lại trách nhiệm, quyền hạn của Hội đồng quản lý Quỹ, Giám đốc Quỹ và Ban Kiểm soát trong quản lý, điều hành, kiểm tra, giám sát và báo cáo tài chính.</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Bảo đảm thống nhất trong tổ chức thực hiện và tránh chồng chéo về thẩm quyền.</w:t>
            </w:r>
          </w:p>
        </w:tc>
      </w:tr>
      <w:tr w:rsidR="00F67D90" w:rsidRPr="00F67D90" w:rsidTr="00E710B5">
        <w:trPr>
          <w:trHeight w:val="1199"/>
          <w:jc w:val="center"/>
        </w:trPr>
        <w:tc>
          <w:tcPr>
            <w:tcW w:w="704" w:type="dxa"/>
            <w:vAlign w:val="center"/>
            <w:hideMark/>
          </w:tcPr>
          <w:p w:rsidR="00F67D90" w:rsidRPr="00F67D90" w:rsidRDefault="00F67D90" w:rsidP="00D201B6">
            <w:pPr>
              <w:spacing w:before="60" w:after="60"/>
              <w:jc w:val="center"/>
              <w:rPr>
                <w:rFonts w:eastAsia="Times New Roman" w:cs="Times New Roman"/>
                <w:sz w:val="26"/>
                <w:szCs w:val="26"/>
              </w:rPr>
            </w:pPr>
            <w:r w:rsidRPr="00F67D90">
              <w:rPr>
                <w:rFonts w:eastAsia="Times New Roman" w:cs="Times New Roman"/>
                <w:bCs/>
                <w:sz w:val="26"/>
                <w:szCs w:val="26"/>
              </w:rPr>
              <w:t>10</w:t>
            </w:r>
          </w:p>
        </w:tc>
        <w:tc>
          <w:tcPr>
            <w:tcW w:w="3985"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Một số nội dung của Quy chế chưa cập nhật đầy đủ các quy định mới của pháp luật về quỹ tài chính nhà nước ngoài ngân sách.</w:t>
            </w:r>
          </w:p>
        </w:tc>
        <w:tc>
          <w:tcPr>
            <w:tcW w:w="5403"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Rà soát, chỉnh sửa đồng bộ các quy định về tổ chức, hoạt động, tài chính, kế toán, báo cáo, công khai, quyết toán và kiểm toán; đồng thời chuẩn hóa thuật ngữ và trình tự thực hiện.</w:t>
            </w:r>
          </w:p>
        </w:tc>
        <w:tc>
          <w:tcPr>
            <w:tcW w:w="4652" w:type="dxa"/>
            <w:vAlign w:val="center"/>
            <w:hideMark/>
          </w:tcPr>
          <w:p w:rsidR="00F67D90" w:rsidRPr="00F67D90" w:rsidRDefault="00F67D90" w:rsidP="00D201B6">
            <w:pPr>
              <w:spacing w:before="60" w:after="60"/>
              <w:rPr>
                <w:rFonts w:eastAsia="Times New Roman" w:cs="Times New Roman"/>
                <w:sz w:val="26"/>
                <w:szCs w:val="26"/>
              </w:rPr>
            </w:pPr>
            <w:r w:rsidRPr="00F67D90">
              <w:rPr>
                <w:rFonts w:eastAsia="Times New Roman" w:cs="Times New Roman"/>
                <w:sz w:val="26"/>
                <w:szCs w:val="26"/>
              </w:rPr>
              <w:t>Bảo đảm Quy chế thống nhất, đồng bộ với Nghị định số 73/2026/NĐ-CP, Thông tư số 26/2026/TT-BTC, Thông tư số 59/2026/TT-BTC và các quy định pháp luật có liên quan.</w:t>
            </w:r>
          </w:p>
        </w:tc>
      </w:tr>
    </w:tbl>
    <w:p w:rsidR="00F67D90" w:rsidRPr="00F67D90" w:rsidRDefault="00F67D90" w:rsidP="00F67D90">
      <w:pPr>
        <w:jc w:val="center"/>
        <w:rPr>
          <w:b/>
        </w:rPr>
      </w:pPr>
    </w:p>
    <w:sectPr w:rsidR="00F67D90" w:rsidRPr="00F67D90" w:rsidSect="00F67D90">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90"/>
    <w:rsid w:val="00037CB3"/>
    <w:rsid w:val="00275780"/>
    <w:rsid w:val="004F1EED"/>
    <w:rsid w:val="00645E2B"/>
    <w:rsid w:val="00702E45"/>
    <w:rsid w:val="00BD7572"/>
    <w:rsid w:val="00CF6E57"/>
    <w:rsid w:val="00D201B6"/>
    <w:rsid w:val="00D939D7"/>
    <w:rsid w:val="00E31BA2"/>
    <w:rsid w:val="00E710B5"/>
    <w:rsid w:val="00F6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1C72"/>
  <w15:chartTrackingRefBased/>
  <w15:docId w15:val="{AA0FDB62-5676-4D3F-9E40-DDDFEFF4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67D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75991">
      <w:bodyDiv w:val="1"/>
      <w:marLeft w:val="0"/>
      <w:marRight w:val="0"/>
      <w:marTop w:val="0"/>
      <w:marBottom w:val="0"/>
      <w:divBdr>
        <w:top w:val="none" w:sz="0" w:space="0" w:color="auto"/>
        <w:left w:val="none" w:sz="0" w:space="0" w:color="auto"/>
        <w:bottom w:val="none" w:sz="0" w:space="0" w:color="auto"/>
        <w:right w:val="none" w:sz="0" w:space="0" w:color="auto"/>
      </w:divBdr>
    </w:div>
    <w:div w:id="445126619">
      <w:bodyDiv w:val="1"/>
      <w:marLeft w:val="0"/>
      <w:marRight w:val="0"/>
      <w:marTop w:val="0"/>
      <w:marBottom w:val="0"/>
      <w:divBdr>
        <w:top w:val="none" w:sz="0" w:space="0" w:color="auto"/>
        <w:left w:val="none" w:sz="0" w:space="0" w:color="auto"/>
        <w:bottom w:val="none" w:sz="0" w:space="0" w:color="auto"/>
        <w:right w:val="none" w:sz="0" w:space="0" w:color="auto"/>
      </w:divBdr>
    </w:div>
    <w:div w:id="201988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2026-08-08T08:20:00Z</dcterms:created>
  <dcterms:modified xsi:type="dcterms:W3CDTF">2026-08-08T10:59:00Z</dcterms:modified>
</cp:coreProperties>
</file>