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9" w:type="dxa"/>
        <w:tblCellMar>
          <w:left w:w="0" w:type="dxa"/>
          <w:right w:w="0" w:type="dxa"/>
        </w:tblCellMar>
        <w:tblLook w:val="04A0" w:firstRow="1" w:lastRow="0" w:firstColumn="1" w:lastColumn="0" w:noHBand="0" w:noVBand="1"/>
      </w:tblPr>
      <w:tblGrid>
        <w:gridCol w:w="3696"/>
        <w:gridCol w:w="5813"/>
      </w:tblGrid>
      <w:tr w:rsidR="009A2322" w:rsidRPr="009A2322" w14:paraId="49261082" w14:textId="77777777" w:rsidTr="00B625F4">
        <w:trPr>
          <w:trHeight w:val="546"/>
        </w:trPr>
        <w:tc>
          <w:tcPr>
            <w:tcW w:w="3696" w:type="dxa"/>
            <w:tcMar>
              <w:top w:w="0" w:type="dxa"/>
              <w:left w:w="108" w:type="dxa"/>
              <w:bottom w:w="0" w:type="dxa"/>
              <w:right w:w="108" w:type="dxa"/>
            </w:tcMar>
            <w:vAlign w:val="center"/>
            <w:hideMark/>
          </w:tcPr>
          <w:p w14:paraId="057BBA6A" w14:textId="77777777" w:rsidR="000555A2" w:rsidRPr="009A2322" w:rsidRDefault="000555A2" w:rsidP="00B625F4">
            <w:pPr>
              <w:jc w:val="center"/>
              <w:rPr>
                <w:bCs/>
                <w:color w:val="000000" w:themeColor="text1"/>
                <w:sz w:val="26"/>
                <w:szCs w:val="26"/>
              </w:rPr>
            </w:pPr>
            <w:r w:rsidRPr="009A2322">
              <w:rPr>
                <w:bCs/>
                <w:color w:val="000000" w:themeColor="text1"/>
                <w:sz w:val="26"/>
                <w:szCs w:val="26"/>
              </w:rPr>
              <w:t>UBND TỈNH TUYÊN QUANG</w:t>
            </w:r>
          </w:p>
          <w:p w14:paraId="76AB262F" w14:textId="0782FAE3" w:rsidR="000555A2" w:rsidRPr="009A2322" w:rsidRDefault="000555A2" w:rsidP="00D679D1">
            <w:pPr>
              <w:jc w:val="center"/>
              <w:rPr>
                <w:b/>
                <w:bCs/>
                <w:color w:val="000000" w:themeColor="text1"/>
                <w:sz w:val="26"/>
                <w:szCs w:val="26"/>
              </w:rPr>
            </w:pPr>
            <w:r w:rsidRPr="009A2322">
              <w:rPr>
                <w:noProof/>
                <w:color w:val="000000" w:themeColor="text1"/>
              </w:rPr>
              <mc:AlternateContent>
                <mc:Choice Requires="wps">
                  <w:drawing>
                    <wp:anchor distT="4294967295" distB="4294967295" distL="114300" distR="114300" simplePos="0" relativeHeight="251658752" behindDoc="0" locked="0" layoutInCell="1" allowOverlap="1" wp14:anchorId="3E0E18CD" wp14:editId="7D7C55F5">
                      <wp:simplePos x="0" y="0"/>
                      <wp:positionH relativeFrom="column">
                        <wp:posOffset>791845</wp:posOffset>
                      </wp:positionH>
                      <wp:positionV relativeFrom="paragraph">
                        <wp:posOffset>222250</wp:posOffset>
                      </wp:positionV>
                      <wp:extent cx="622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F96288"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17.5pt" to="11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" filled="t">
                      <o:lock v:ext="edit" shapetype="f"/>
                    </v:line>
                  </w:pict>
                </mc:Fallback>
              </mc:AlternateContent>
            </w:r>
            <w:r w:rsidRPr="009A2322">
              <w:rPr>
                <w:b/>
                <w:bCs/>
                <w:color w:val="000000" w:themeColor="text1"/>
                <w:sz w:val="26"/>
                <w:szCs w:val="26"/>
              </w:rPr>
              <w:t xml:space="preserve">SỞ </w:t>
            </w:r>
            <w:r w:rsidR="00D679D1">
              <w:rPr>
                <w:b/>
                <w:bCs/>
                <w:color w:val="000000" w:themeColor="text1"/>
                <w:sz w:val="26"/>
                <w:szCs w:val="26"/>
              </w:rPr>
              <w:t>TÀI CHÍNH</w:t>
            </w:r>
          </w:p>
        </w:tc>
        <w:tc>
          <w:tcPr>
            <w:tcW w:w="5813" w:type="dxa"/>
            <w:tcMar>
              <w:top w:w="0" w:type="dxa"/>
              <w:left w:w="108" w:type="dxa"/>
              <w:bottom w:w="0" w:type="dxa"/>
              <w:right w:w="108" w:type="dxa"/>
            </w:tcMar>
            <w:vAlign w:val="center"/>
            <w:hideMark/>
          </w:tcPr>
          <w:p w14:paraId="1EE4C353" w14:textId="4C880751" w:rsidR="000555A2" w:rsidRPr="009A2322" w:rsidRDefault="000555A2" w:rsidP="00B625F4">
            <w:pPr>
              <w:jc w:val="center"/>
              <w:rPr>
                <w:color w:val="000000" w:themeColor="text1"/>
                <w:sz w:val="26"/>
                <w:szCs w:val="26"/>
              </w:rPr>
            </w:pPr>
            <w:r w:rsidRPr="009A2322">
              <w:rPr>
                <w:noProof/>
                <w:color w:val="000000" w:themeColor="text1"/>
              </w:rPr>
              <mc:AlternateContent>
                <mc:Choice Requires="wps">
                  <w:drawing>
                    <wp:anchor distT="0" distB="0" distL="114300" distR="114300" simplePos="0" relativeHeight="251657728" behindDoc="0" locked="0" layoutInCell="1" allowOverlap="1" wp14:anchorId="3DDA3542" wp14:editId="5D36FA87">
                      <wp:simplePos x="0" y="0"/>
                      <wp:positionH relativeFrom="column">
                        <wp:posOffset>854243</wp:posOffset>
                      </wp:positionH>
                      <wp:positionV relativeFrom="paragraph">
                        <wp:posOffset>448789</wp:posOffset>
                      </wp:positionV>
                      <wp:extent cx="1819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A3BD98"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35.35pt" to="210.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1CmQ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" strokecolor="black [3040]"/>
                  </w:pict>
                </mc:Fallback>
              </mc:AlternateContent>
            </w:r>
            <w:r w:rsidRPr="009A2322">
              <w:rPr>
                <w:b/>
                <w:bCs/>
                <w:color w:val="000000" w:themeColor="text1"/>
                <w:sz w:val="26"/>
                <w:szCs w:val="26"/>
              </w:rPr>
              <w:t>CỘNG HÒA XÃ HỘI CHỦ NGHĨA VIỆT NAM</w:t>
            </w:r>
            <w:r w:rsidRPr="009A2322">
              <w:rPr>
                <w:b/>
                <w:bCs/>
                <w:color w:val="000000" w:themeColor="text1"/>
                <w:sz w:val="26"/>
                <w:szCs w:val="26"/>
              </w:rPr>
              <w:br/>
              <w:t>Độc lập - Tự do - Hạnh phúc</w:t>
            </w:r>
            <w:r w:rsidRPr="009A2322">
              <w:rPr>
                <w:b/>
                <w:bCs/>
                <w:color w:val="000000" w:themeColor="text1"/>
                <w:sz w:val="26"/>
                <w:szCs w:val="26"/>
              </w:rPr>
              <w:br/>
            </w:r>
          </w:p>
        </w:tc>
      </w:tr>
      <w:tr w:rsidR="009A2322" w:rsidRPr="009A2322" w14:paraId="6C425AE2" w14:textId="77777777" w:rsidTr="00B625F4">
        <w:trPr>
          <w:trHeight w:val="561"/>
        </w:trPr>
        <w:tc>
          <w:tcPr>
            <w:tcW w:w="3696" w:type="dxa"/>
            <w:tcMar>
              <w:top w:w="0" w:type="dxa"/>
              <w:left w:w="108" w:type="dxa"/>
              <w:bottom w:w="0" w:type="dxa"/>
              <w:right w:w="108" w:type="dxa"/>
            </w:tcMar>
            <w:vAlign w:val="center"/>
          </w:tcPr>
          <w:p w14:paraId="3A1EFA5C" w14:textId="2DB2C235" w:rsidR="000555A2" w:rsidRPr="009A2322" w:rsidRDefault="000555A2" w:rsidP="0079610B">
            <w:pPr>
              <w:jc w:val="center"/>
              <w:rPr>
                <w:color w:val="000000" w:themeColor="text1"/>
              </w:rPr>
            </w:pPr>
            <w:r w:rsidRPr="009A2322">
              <w:rPr>
                <w:color w:val="000000" w:themeColor="text1"/>
              </w:rPr>
              <w:t>Số:</w:t>
            </w:r>
            <w:r w:rsidR="00583409" w:rsidRPr="009A2322">
              <w:rPr>
                <w:color w:val="000000" w:themeColor="text1"/>
              </w:rPr>
              <w:t xml:space="preserve"> </w:t>
            </w:r>
            <w:r w:rsidR="0097657A" w:rsidRPr="009A2322">
              <w:rPr>
                <w:color w:val="000000" w:themeColor="text1"/>
              </w:rPr>
              <w:t xml:space="preserve">       </w:t>
            </w:r>
            <w:r w:rsidRPr="009A2322">
              <w:rPr>
                <w:color w:val="000000" w:themeColor="text1"/>
              </w:rPr>
              <w:t>/TTr-S</w:t>
            </w:r>
            <w:r w:rsidR="0079610B">
              <w:rPr>
                <w:color w:val="000000" w:themeColor="text1"/>
              </w:rPr>
              <w:t>TC</w:t>
            </w:r>
            <w:r w:rsidR="00516E2A">
              <w:rPr>
                <w:color w:val="000000" w:themeColor="text1"/>
              </w:rPr>
              <w:t>.GCS</w:t>
            </w:r>
          </w:p>
        </w:tc>
        <w:tc>
          <w:tcPr>
            <w:tcW w:w="5813" w:type="dxa"/>
            <w:tcMar>
              <w:top w:w="0" w:type="dxa"/>
              <w:left w:w="108" w:type="dxa"/>
              <w:bottom w:w="0" w:type="dxa"/>
              <w:right w:w="108" w:type="dxa"/>
            </w:tcMar>
            <w:vAlign w:val="center"/>
            <w:hideMark/>
          </w:tcPr>
          <w:p w14:paraId="517763F4" w14:textId="50518DB9" w:rsidR="000555A2" w:rsidRPr="009A2322" w:rsidRDefault="000555A2" w:rsidP="00666A1E">
            <w:pPr>
              <w:spacing w:line="276" w:lineRule="auto"/>
              <w:ind w:hanging="154"/>
              <w:jc w:val="center"/>
              <w:rPr>
                <w:color w:val="000000" w:themeColor="text1"/>
              </w:rPr>
            </w:pPr>
            <w:r w:rsidRPr="009A2322">
              <w:rPr>
                <w:i/>
                <w:iCs/>
                <w:color w:val="000000" w:themeColor="text1"/>
              </w:rPr>
              <w:t xml:space="preserve"> Tuyên Quang, ngày </w:t>
            </w:r>
            <w:r w:rsidR="0097657A" w:rsidRPr="009A2322">
              <w:rPr>
                <w:i/>
                <w:iCs/>
                <w:color w:val="000000" w:themeColor="text1"/>
              </w:rPr>
              <w:t xml:space="preserve">    </w:t>
            </w:r>
            <w:r w:rsidRPr="009A2322">
              <w:rPr>
                <w:i/>
                <w:iCs/>
                <w:color w:val="000000" w:themeColor="text1"/>
              </w:rPr>
              <w:t xml:space="preserve"> tháng</w:t>
            </w:r>
            <w:r w:rsidR="002F495D">
              <w:rPr>
                <w:i/>
                <w:iCs/>
                <w:color w:val="000000" w:themeColor="text1"/>
              </w:rPr>
              <w:t xml:space="preserve"> </w:t>
            </w:r>
            <w:r w:rsidR="00666A1E">
              <w:rPr>
                <w:i/>
                <w:iCs/>
                <w:color w:val="000000" w:themeColor="text1"/>
              </w:rPr>
              <w:t>5</w:t>
            </w:r>
            <w:r w:rsidRPr="009A2322">
              <w:rPr>
                <w:i/>
                <w:iCs/>
                <w:color w:val="000000" w:themeColor="text1"/>
              </w:rPr>
              <w:t xml:space="preserve"> năm 202</w:t>
            </w:r>
            <w:r w:rsidR="0097657A" w:rsidRPr="009A2322">
              <w:rPr>
                <w:i/>
                <w:iCs/>
                <w:color w:val="000000" w:themeColor="text1"/>
              </w:rPr>
              <w:t>6</w:t>
            </w:r>
          </w:p>
        </w:tc>
      </w:tr>
    </w:tbl>
    <w:p w14:paraId="0A1FE661" w14:textId="77777777" w:rsidR="0079610B" w:rsidRDefault="0079610B" w:rsidP="00B625F4">
      <w:pPr>
        <w:spacing w:before="120" w:line="351" w:lineRule="exact"/>
        <w:jc w:val="center"/>
        <w:rPr>
          <w:b/>
          <w:color w:val="000000" w:themeColor="text1"/>
        </w:rPr>
      </w:pPr>
    </w:p>
    <w:tbl>
      <w:tblPr>
        <w:tblStyle w:val="TableGrid"/>
        <w:tblW w:w="0" w:type="auto"/>
        <w:tblLook w:val="04A0" w:firstRow="1" w:lastRow="0" w:firstColumn="1" w:lastColumn="0" w:noHBand="0" w:noVBand="1"/>
      </w:tblPr>
      <w:tblGrid>
        <w:gridCol w:w="2264"/>
      </w:tblGrid>
      <w:tr w:rsidR="0079610B" w14:paraId="0C93D401" w14:textId="77777777" w:rsidTr="00F32850">
        <w:trPr>
          <w:trHeight w:val="344"/>
        </w:trPr>
        <w:tc>
          <w:tcPr>
            <w:tcW w:w="2264" w:type="dxa"/>
            <w:vAlign w:val="center"/>
          </w:tcPr>
          <w:p w14:paraId="0BC480F4" w14:textId="78C49EB8" w:rsidR="0079610B" w:rsidRDefault="0079610B" w:rsidP="00F32850">
            <w:pPr>
              <w:pBdr>
                <w:top w:val="none" w:sz="0" w:space="0" w:color="auto"/>
                <w:left w:val="none" w:sz="0" w:space="0" w:color="auto"/>
                <w:bottom w:val="none" w:sz="0" w:space="0" w:color="auto"/>
                <w:right w:val="none" w:sz="0" w:space="0" w:color="auto"/>
                <w:between w:val="none" w:sz="0" w:space="0" w:color="auto"/>
              </w:pBdr>
              <w:spacing w:before="120" w:line="351" w:lineRule="exact"/>
              <w:jc w:val="center"/>
              <w:rPr>
                <w:b/>
                <w:color w:val="000000" w:themeColor="text1"/>
              </w:rPr>
            </w:pPr>
            <w:r>
              <w:rPr>
                <w:b/>
                <w:color w:val="000000" w:themeColor="text1"/>
              </w:rPr>
              <w:t>“DỰ THẢO”</w:t>
            </w:r>
          </w:p>
        </w:tc>
      </w:tr>
    </w:tbl>
    <w:p w14:paraId="117B7F39" w14:textId="7E16CE42" w:rsidR="000555A2" w:rsidRPr="009A2322" w:rsidRDefault="000555A2" w:rsidP="00D679D1">
      <w:pPr>
        <w:spacing w:before="120" w:line="351" w:lineRule="exact"/>
        <w:jc w:val="center"/>
        <w:rPr>
          <w:b/>
          <w:color w:val="000000" w:themeColor="text1"/>
        </w:rPr>
      </w:pPr>
      <w:r w:rsidRPr="009A2322">
        <w:rPr>
          <w:b/>
          <w:color w:val="000000" w:themeColor="text1"/>
        </w:rPr>
        <w:t>TỜ TRÌNH</w:t>
      </w:r>
    </w:p>
    <w:p w14:paraId="75478E3E" w14:textId="36B72E06" w:rsidR="0097657A" w:rsidRPr="009A2322" w:rsidRDefault="0074541D" w:rsidP="00D6663E">
      <w:pPr>
        <w:spacing w:line="351" w:lineRule="exact"/>
        <w:jc w:val="center"/>
        <w:rPr>
          <w:rFonts w:ascii="Times New Roman Bold" w:hAnsi="Times New Roman Bold"/>
          <w:b/>
          <w:color w:val="000000" w:themeColor="text1"/>
          <w:spacing w:val="4"/>
        </w:rPr>
      </w:pPr>
      <w:r>
        <w:rPr>
          <w:rFonts w:ascii="Times New Roman Bold" w:hAnsi="Times New Roman Bold"/>
          <w:b/>
          <w:color w:val="000000" w:themeColor="text1"/>
          <w:spacing w:val="4"/>
        </w:rPr>
        <w:t xml:space="preserve">Dự thảo Quyết định </w:t>
      </w:r>
      <w:r w:rsidR="00555A56" w:rsidRPr="003A4CD4">
        <w:rPr>
          <w:b/>
          <w:color w:val="000000" w:themeColor="text1"/>
        </w:rPr>
        <w:t xml:space="preserve">Bãi bỏ </w:t>
      </w:r>
      <w:bookmarkStart w:id="0" w:name="_Hlk220587350"/>
      <w:r w:rsidR="00555A56" w:rsidRPr="003A4CD4">
        <w:rPr>
          <w:b/>
          <w:color w:val="000000" w:themeColor="text1"/>
        </w:rPr>
        <w:t xml:space="preserve">Quyết định </w:t>
      </w:r>
      <w:bookmarkEnd w:id="0"/>
      <w:r w:rsidR="00D6663E" w:rsidRPr="00D6663E">
        <w:rPr>
          <w:b/>
          <w:color w:val="000000"/>
          <w:spacing w:val="4"/>
        </w:rPr>
        <w:t>số 34/2018/QĐ-UBND ngày 09/11/2018 của UBND tỉnh Hà Giang</w:t>
      </w:r>
      <w:r w:rsidR="00D6663E" w:rsidRPr="00D6663E">
        <w:rPr>
          <w:b/>
        </w:rPr>
        <w:t xml:space="preserve"> Quy định giá thóc thu thuế sử dụng đất nông nghiệp trên địa bàn tỉnh Hà Giang</w:t>
      </w:r>
    </w:p>
    <w:p w14:paraId="14891E68" w14:textId="295D2455" w:rsidR="000555A2" w:rsidRPr="009A2322" w:rsidRDefault="000555A2" w:rsidP="0097657A">
      <w:pPr>
        <w:shd w:val="clear" w:color="auto" w:fill="FFFFFF"/>
        <w:jc w:val="center"/>
        <w:rPr>
          <w:b/>
          <w:bCs/>
          <w:color w:val="000000" w:themeColor="text1"/>
        </w:rPr>
      </w:pPr>
      <w:r w:rsidRPr="009A2322">
        <w:rPr>
          <w:noProof/>
          <w:color w:val="000000" w:themeColor="text1"/>
        </w:rPr>
        <mc:AlternateContent>
          <mc:Choice Requires="wps">
            <w:drawing>
              <wp:anchor distT="4294967295" distB="4294967295" distL="114300" distR="114300" simplePos="0" relativeHeight="251656704" behindDoc="0" locked="0" layoutInCell="1" allowOverlap="1" wp14:anchorId="7739F512" wp14:editId="704DD369">
                <wp:simplePos x="0" y="0"/>
                <wp:positionH relativeFrom="column">
                  <wp:posOffset>2526030</wp:posOffset>
                </wp:positionH>
                <wp:positionV relativeFrom="paragraph">
                  <wp:posOffset>76835</wp:posOffset>
                </wp:positionV>
                <wp:extent cx="6934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3420" cy="0"/>
                        </a:xfrm>
                        <a:prstGeom prst="line">
                          <a:avLst/>
                        </a:prstGeom>
                        <a:solidFill>
                          <a:srgbClr val="FFFFFF"/>
                        </a:solid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463404"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8.9pt,6.05pt" to="25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" filled="t">
                <o:lock v:ext="edit" shapetype="f"/>
              </v:line>
            </w:pict>
          </mc:Fallback>
        </mc:AlternateContent>
      </w:r>
    </w:p>
    <w:p w14:paraId="6B603626" w14:textId="77777777" w:rsidR="000555A2" w:rsidRPr="009A2322" w:rsidRDefault="000555A2" w:rsidP="00B625F4">
      <w:pPr>
        <w:pStyle w:val="BodyText"/>
        <w:spacing w:before="120"/>
        <w:jc w:val="center"/>
        <w:rPr>
          <w:rFonts w:ascii="Times New Roman" w:hAnsi="Times New Roman"/>
          <w:color w:val="000000" w:themeColor="text1"/>
          <w:szCs w:val="28"/>
          <w:lang w:val="pl-PL"/>
        </w:rPr>
      </w:pPr>
      <w:r w:rsidRPr="009A2322">
        <w:rPr>
          <w:rFonts w:ascii="Times New Roman" w:hAnsi="Times New Roman"/>
          <w:color w:val="000000" w:themeColor="text1"/>
          <w:szCs w:val="28"/>
          <w:lang w:val="pl-PL"/>
        </w:rPr>
        <w:t>Kính gửi: Ủy ban nhân dân tỉnh Tuyên Quang.</w:t>
      </w:r>
    </w:p>
    <w:p w14:paraId="650A3CC0" w14:textId="77777777" w:rsidR="000555A2" w:rsidRPr="009A2322" w:rsidRDefault="000555A2" w:rsidP="000555A2">
      <w:pPr>
        <w:spacing w:line="351" w:lineRule="exact"/>
        <w:rPr>
          <w:b/>
          <w:bCs/>
          <w:color w:val="000000" w:themeColor="text1"/>
        </w:rPr>
      </w:pPr>
      <w:r w:rsidRPr="009A2322">
        <w:rPr>
          <w:color w:val="000000" w:themeColor="text1"/>
        </w:rPr>
        <w:tab/>
      </w:r>
    </w:p>
    <w:p w14:paraId="54C96FC9" w14:textId="3756A822" w:rsidR="000555A2" w:rsidRPr="009A2322" w:rsidRDefault="000555A2" w:rsidP="00645032">
      <w:pPr>
        <w:shd w:val="clear" w:color="auto" w:fill="FFFFFF"/>
        <w:spacing w:before="60" w:line="340" w:lineRule="exact"/>
        <w:ind w:firstLine="567"/>
        <w:jc w:val="both"/>
        <w:rPr>
          <w:color w:val="000000" w:themeColor="text1"/>
          <w:lang w:val="pl-PL"/>
        </w:rPr>
      </w:pPr>
      <w:r w:rsidRPr="009A2322">
        <w:rPr>
          <w:color w:val="000000" w:themeColor="text1"/>
        </w:rPr>
        <w:t>Căn cứ</w:t>
      </w:r>
      <w:r w:rsidR="008D5E5E" w:rsidRPr="009A2322">
        <w:rPr>
          <w:color w:val="000000" w:themeColor="text1"/>
        </w:rPr>
        <w:t xml:space="preserve"> </w:t>
      </w:r>
      <w:r w:rsidRPr="009A2322">
        <w:rPr>
          <w:color w:val="000000" w:themeColor="text1"/>
        </w:rPr>
        <w:t>Luật Ban hành văn bản quy phạm phá</w:t>
      </w:r>
      <w:r w:rsidR="005A60A1" w:rsidRPr="009A2322">
        <w:rPr>
          <w:color w:val="000000" w:themeColor="text1"/>
        </w:rPr>
        <w:t xml:space="preserve">p luật </w:t>
      </w:r>
      <w:r w:rsidR="0097657A" w:rsidRPr="009A2322">
        <w:rPr>
          <w:color w:val="000000" w:themeColor="text1"/>
        </w:rPr>
        <w:t>số 64/2025/QH15 được sửa đổi, bổ sung bởi Luật số 87/2025/QH15</w:t>
      </w:r>
      <w:r w:rsidR="005A60A1" w:rsidRPr="009A2322">
        <w:rPr>
          <w:i/>
          <w:color w:val="000000" w:themeColor="text1"/>
        </w:rPr>
        <w:t xml:space="preserve"> (viết chung là Luật Ban hành văn bản quy phạm pháp luật</w:t>
      </w:r>
      <w:r w:rsidRPr="009A2322">
        <w:rPr>
          <w:i/>
          <w:color w:val="000000" w:themeColor="text1"/>
        </w:rPr>
        <w:t>)</w:t>
      </w:r>
      <w:r w:rsidR="0097657A" w:rsidRPr="009A2322">
        <w:rPr>
          <w:color w:val="000000" w:themeColor="text1"/>
        </w:rPr>
        <w:t>,</w:t>
      </w:r>
      <w:r w:rsidRPr="009A2322">
        <w:rPr>
          <w:color w:val="000000" w:themeColor="text1"/>
        </w:rPr>
        <w:t xml:space="preserve"> Sở </w:t>
      </w:r>
      <w:r w:rsidR="0079610B">
        <w:rPr>
          <w:color w:val="000000" w:themeColor="text1"/>
        </w:rPr>
        <w:t>Tài chính</w:t>
      </w:r>
      <w:r w:rsidRPr="009A2322">
        <w:rPr>
          <w:color w:val="000000" w:themeColor="text1"/>
        </w:rPr>
        <w:t xml:space="preserve"> kính trình </w:t>
      </w:r>
      <w:r w:rsidR="009127A5" w:rsidRPr="009A2322">
        <w:rPr>
          <w:color w:val="000000" w:themeColor="text1"/>
        </w:rPr>
        <w:t>Ủy ban nhân dân</w:t>
      </w:r>
      <w:r w:rsidRPr="009A2322">
        <w:rPr>
          <w:color w:val="000000" w:themeColor="text1"/>
        </w:rPr>
        <w:t xml:space="preserve"> tỉnh dự thảo</w:t>
      </w:r>
      <w:r w:rsidRPr="009A2322">
        <w:rPr>
          <w:color w:val="000000" w:themeColor="text1"/>
          <w:lang w:val="pl-PL"/>
        </w:rPr>
        <w:t xml:space="preserve"> Quyết định </w:t>
      </w:r>
      <w:r w:rsidR="00555A56" w:rsidRPr="00555A56">
        <w:rPr>
          <w:color w:val="000000" w:themeColor="text1"/>
        </w:rPr>
        <w:t xml:space="preserve">Bãi bỏ Quyết định </w:t>
      </w:r>
      <w:r w:rsidR="00516E2A" w:rsidRPr="00F06A64">
        <w:rPr>
          <w:color w:val="000000"/>
          <w:spacing w:val="4"/>
        </w:rPr>
        <w:t xml:space="preserve">số 34/2018/QĐ-UBND ngày </w:t>
      </w:r>
      <w:r w:rsidR="00516E2A">
        <w:rPr>
          <w:color w:val="000000"/>
          <w:spacing w:val="4"/>
        </w:rPr>
        <w:t xml:space="preserve">09/11/2018 </w:t>
      </w:r>
      <w:r w:rsidR="00516E2A" w:rsidRPr="00F06A64">
        <w:rPr>
          <w:color w:val="000000"/>
          <w:spacing w:val="4"/>
        </w:rPr>
        <w:t>của UBND tỉnh Hà Giang</w:t>
      </w:r>
      <w:r w:rsidR="00516E2A" w:rsidRPr="00D77D05">
        <w:t xml:space="preserve"> </w:t>
      </w:r>
      <w:r w:rsidR="00516E2A">
        <w:t>Quy định giá thóc thu thuế sử dụng đất nông nghiệp trên địa bàn tỉnh Hà Giang</w:t>
      </w:r>
      <w:r w:rsidRPr="009A2322">
        <w:rPr>
          <w:color w:val="000000" w:themeColor="text1"/>
          <w:lang w:val="pl-PL"/>
        </w:rPr>
        <w:t>, c</w:t>
      </w:r>
      <w:r w:rsidRPr="009A2322">
        <w:rPr>
          <w:color w:val="000000" w:themeColor="text1"/>
        </w:rPr>
        <w:t>ụ thể như sau:</w:t>
      </w:r>
    </w:p>
    <w:p w14:paraId="14015776" w14:textId="60A80EA8" w:rsidR="00314432" w:rsidRPr="009A2322" w:rsidRDefault="000555A2" w:rsidP="00645032">
      <w:pPr>
        <w:spacing w:before="60" w:line="340" w:lineRule="exact"/>
        <w:ind w:firstLine="567"/>
        <w:jc w:val="both"/>
        <w:rPr>
          <w:b/>
          <w:color w:val="000000" w:themeColor="text1"/>
          <w:lang w:val="vi-VN"/>
        </w:rPr>
      </w:pPr>
      <w:r w:rsidRPr="009A2322">
        <w:rPr>
          <w:b/>
          <w:bCs/>
          <w:color w:val="000000" w:themeColor="text1"/>
          <w:lang w:val="nl-NL"/>
        </w:rPr>
        <w:t xml:space="preserve">I. </w:t>
      </w:r>
      <w:r w:rsidR="00314432" w:rsidRPr="009A2322">
        <w:rPr>
          <w:b/>
          <w:color w:val="000000" w:themeColor="text1"/>
          <w:lang w:val="vi-VN"/>
        </w:rPr>
        <w:t>SỰ CẦN THIẾT BAN HÀNH QUYẾT ĐỊNH</w:t>
      </w:r>
    </w:p>
    <w:p w14:paraId="19F80E4B" w14:textId="384420C1" w:rsidR="00C54B8D" w:rsidRPr="002F495D" w:rsidRDefault="00C54B8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b/>
          <w:bCs/>
          <w:color w:val="000000" w:themeColor="text1"/>
          <w:spacing w:val="-2"/>
          <w:lang w:val="vi-VN"/>
        </w:rPr>
      </w:pPr>
      <w:r w:rsidRPr="002F495D">
        <w:rPr>
          <w:b/>
          <w:bCs/>
          <w:color w:val="000000" w:themeColor="text1"/>
          <w:spacing w:val="-2"/>
          <w:lang w:val="vi-VN"/>
        </w:rPr>
        <w:t>1. Cơ sở pháp lý</w:t>
      </w:r>
    </w:p>
    <w:p w14:paraId="5B2011C7" w14:textId="1D8247CE" w:rsidR="00C54B8D" w:rsidRPr="002F495D" w:rsidRDefault="00C54B8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bCs/>
          <w:color w:val="000000" w:themeColor="text1"/>
          <w:spacing w:val="-6"/>
          <w:lang w:val="vi-VN"/>
        </w:rPr>
      </w:pPr>
      <w:r w:rsidRPr="002F495D">
        <w:rPr>
          <w:color w:val="000000" w:themeColor="text1"/>
          <w:spacing w:val="-2"/>
          <w:lang w:val="vi-VN"/>
        </w:rPr>
        <w:t>Tại</w:t>
      </w:r>
      <w:r w:rsidRPr="009A2322">
        <w:rPr>
          <w:color w:val="000000" w:themeColor="text1"/>
          <w:spacing w:val="-2"/>
          <w:lang w:val="vi-VN"/>
        </w:rPr>
        <w:t xml:space="preserve"> </w:t>
      </w:r>
      <w:r w:rsidRPr="002F495D">
        <w:rPr>
          <w:color w:val="000000" w:themeColor="text1"/>
          <w:spacing w:val="-2"/>
          <w:lang w:val="vi-VN"/>
        </w:rPr>
        <w:t xml:space="preserve">điểm b khoản 2 Điều 54 Luật Ban hành văn bản quy phạm pháp luật: </w:t>
      </w:r>
      <w:r w:rsidRPr="002F495D">
        <w:rPr>
          <w:bCs/>
          <w:i/>
          <w:iCs/>
          <w:color w:val="000000" w:themeColor="text1"/>
          <w:spacing w:val="-6"/>
          <w:lang w:val="vi-VN"/>
        </w:rPr>
        <w:t>“…</w:t>
      </w:r>
      <w:r w:rsidRPr="002F495D">
        <w:rPr>
          <w:b/>
          <w:i/>
          <w:iCs/>
          <w:color w:val="000000" w:themeColor="text1"/>
          <w:spacing w:val="-6"/>
          <w:u w:val="single"/>
          <w:lang w:val="vi-VN"/>
        </w:rPr>
        <w:t>Trường hợp nhiều đơn vị hành chính được nhập thành một đơn vị hành chính mới cùng cấp</w:t>
      </w:r>
      <w:r w:rsidRPr="002F495D">
        <w:rPr>
          <w:bCs/>
          <w:i/>
          <w:iCs/>
          <w:color w:val="000000" w:themeColor="text1"/>
          <w:spacing w:val="-6"/>
          <w:lang w:val="vi-VN"/>
        </w:rPr>
        <w:t xml:space="preserve">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w:t>
      </w:r>
      <w:r w:rsidRPr="002F495D">
        <w:rPr>
          <w:b/>
          <w:i/>
          <w:iCs/>
          <w:color w:val="000000" w:themeColor="text1"/>
          <w:spacing w:val="-6"/>
          <w:u w:val="single"/>
          <w:lang w:val="vi-VN"/>
        </w:rPr>
        <w:t>Ủy ban nhân dân</w:t>
      </w:r>
      <w:r w:rsidRPr="002F495D">
        <w:rPr>
          <w:bCs/>
          <w:i/>
          <w:iCs/>
          <w:color w:val="000000" w:themeColor="text1"/>
          <w:spacing w:val="-6"/>
          <w:lang w:val="vi-VN"/>
        </w:rPr>
        <w:t xml:space="preserve">, Chủ tịch Ủy ban nhân dân </w:t>
      </w:r>
      <w:r w:rsidRPr="002F495D">
        <w:rPr>
          <w:b/>
          <w:i/>
          <w:iCs/>
          <w:color w:val="000000" w:themeColor="text1"/>
          <w:spacing w:val="-6"/>
          <w:u w:val="single"/>
          <w:lang w:val="vi-VN"/>
        </w:rPr>
        <w:t xml:space="preserve">của đơn vị hành chính mới ban hành văn bản hành chính để </w:t>
      </w:r>
      <w:r w:rsidRPr="002F495D">
        <w:rPr>
          <w:bCs/>
          <w:i/>
          <w:iCs/>
          <w:color w:val="000000" w:themeColor="text1"/>
          <w:spacing w:val="-6"/>
          <w:lang w:val="vi-VN"/>
        </w:rPr>
        <w:t xml:space="preserve">quyết định việc áp dụng hoặc </w:t>
      </w:r>
      <w:r w:rsidRPr="002F495D">
        <w:rPr>
          <w:b/>
          <w:i/>
          <w:iCs/>
          <w:color w:val="000000" w:themeColor="text1"/>
          <w:spacing w:val="-6"/>
          <w:u w:val="single"/>
          <w:lang w:val="vi-VN"/>
        </w:rPr>
        <w:t xml:space="preserve">bãi bỏ văn bản quy phạm pháp luật của </w:t>
      </w:r>
      <w:r w:rsidRPr="002F495D">
        <w:rPr>
          <w:bCs/>
          <w:i/>
          <w:iCs/>
          <w:color w:val="000000" w:themeColor="text1"/>
          <w:spacing w:val="-6"/>
          <w:lang w:val="vi-VN"/>
        </w:rPr>
        <w:t xml:space="preserve">Hội đồng nhân dân, </w:t>
      </w:r>
      <w:r w:rsidRPr="002F495D">
        <w:rPr>
          <w:b/>
          <w:i/>
          <w:iCs/>
          <w:color w:val="000000" w:themeColor="text1"/>
          <w:spacing w:val="-6"/>
          <w:u w:val="single"/>
          <w:lang w:val="vi-VN"/>
        </w:rPr>
        <w:t>Ủy ban nhân dân</w:t>
      </w:r>
      <w:r w:rsidRPr="002F495D">
        <w:rPr>
          <w:bCs/>
          <w:i/>
          <w:iCs/>
          <w:color w:val="000000" w:themeColor="text1"/>
          <w:spacing w:val="-6"/>
          <w:lang w:val="vi-VN"/>
        </w:rPr>
        <w:t xml:space="preserve">, Chủ tịch Ủy ban nhân dân </w:t>
      </w:r>
      <w:r w:rsidRPr="002F495D">
        <w:rPr>
          <w:b/>
          <w:i/>
          <w:iCs/>
          <w:color w:val="000000" w:themeColor="text1"/>
          <w:spacing w:val="-6"/>
          <w:u w:val="single"/>
          <w:lang w:val="vi-VN"/>
        </w:rPr>
        <w:t>của đơn vị hành chính được nhập</w:t>
      </w:r>
      <w:r w:rsidRPr="002F495D">
        <w:rPr>
          <w:bCs/>
          <w:i/>
          <w:iCs/>
          <w:color w:val="000000" w:themeColor="text1"/>
          <w:spacing w:val="-6"/>
          <w:lang w:val="vi-VN"/>
        </w:rPr>
        <w:t xml:space="preserve"> hoặc ban hành văn bản quy phạm pháp luật mới”</w:t>
      </w:r>
      <w:r w:rsidRPr="002F495D">
        <w:rPr>
          <w:bCs/>
          <w:color w:val="000000" w:themeColor="text1"/>
          <w:spacing w:val="-6"/>
          <w:lang w:val="vi-VN"/>
        </w:rPr>
        <w:t>.</w:t>
      </w:r>
    </w:p>
    <w:p w14:paraId="6C5240D7" w14:textId="6394B427" w:rsidR="00D363AD" w:rsidRDefault="00C54B8D" w:rsidP="00D363AD">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color w:val="000000" w:themeColor="text1"/>
        </w:rPr>
      </w:pPr>
      <w:r w:rsidRPr="002F495D">
        <w:rPr>
          <w:bCs/>
          <w:color w:val="000000" w:themeColor="text1"/>
          <w:spacing w:val="-6"/>
          <w:lang w:val="vi-VN"/>
        </w:rPr>
        <w:t xml:space="preserve">Do đó, việc trình Ủy ban nhân dân tỉnh ban hành Quyết định </w:t>
      </w:r>
      <w:r w:rsidR="00516E2A">
        <w:rPr>
          <w:color w:val="000000" w:themeColor="text1"/>
          <w:lang w:val="pl-PL"/>
        </w:rPr>
        <w:t>bãi bỏ</w:t>
      </w:r>
      <w:r w:rsidRPr="009A2322">
        <w:rPr>
          <w:color w:val="000000" w:themeColor="text1"/>
          <w:lang w:val="pl-PL"/>
        </w:rPr>
        <w:t xml:space="preserve"> </w:t>
      </w:r>
      <w:r w:rsidRPr="002F495D">
        <w:rPr>
          <w:color w:val="000000" w:themeColor="text1"/>
          <w:lang w:val="vi-VN"/>
        </w:rPr>
        <w:t xml:space="preserve">Quyết định quy phạm pháp luật của Ủy ban nhân dân tỉnh </w:t>
      </w:r>
      <w:r w:rsidR="00D363AD">
        <w:rPr>
          <w:color w:val="000000"/>
        </w:rPr>
        <w:t>Hà Giang</w:t>
      </w:r>
      <w:r w:rsidR="00633A45" w:rsidRPr="002F495D">
        <w:rPr>
          <w:color w:val="000000" w:themeColor="text1"/>
          <w:lang w:val="vi-VN"/>
        </w:rPr>
        <w:t xml:space="preserve"> </w:t>
      </w:r>
      <w:r w:rsidRPr="002F495D">
        <w:rPr>
          <w:color w:val="000000" w:themeColor="text1"/>
          <w:lang w:val="vi-VN"/>
        </w:rPr>
        <w:t xml:space="preserve">trước sắp xếp thuộc lĩnh vực </w:t>
      </w:r>
      <w:r w:rsidR="00F32850">
        <w:rPr>
          <w:color w:val="000000" w:themeColor="text1"/>
        </w:rPr>
        <w:t>Tài chính</w:t>
      </w:r>
      <w:r w:rsidRPr="002F495D">
        <w:rPr>
          <w:color w:val="000000" w:themeColor="text1"/>
          <w:lang w:val="vi-VN"/>
        </w:rPr>
        <w:t xml:space="preserve"> (dưới hình thức </w:t>
      </w:r>
      <w:r w:rsidRPr="002F495D">
        <w:rPr>
          <w:b/>
          <w:bCs/>
          <w:color w:val="000000" w:themeColor="text1"/>
          <w:lang w:val="vi-VN"/>
        </w:rPr>
        <w:t>văn bản hành chính</w:t>
      </w:r>
      <w:r w:rsidRPr="002F495D">
        <w:rPr>
          <w:color w:val="000000" w:themeColor="text1"/>
          <w:lang w:val="vi-VN"/>
        </w:rPr>
        <w:t>) là có cơ sở pháp lý và phù hợp về thẩm quyền.</w:t>
      </w:r>
      <w:r w:rsidR="00D363AD">
        <w:rPr>
          <w:color w:val="000000" w:themeColor="text1"/>
        </w:rPr>
        <w:t xml:space="preserve"> </w:t>
      </w:r>
    </w:p>
    <w:p w14:paraId="0765600C" w14:textId="743333FE" w:rsidR="00C54B8D" w:rsidRPr="002F495D" w:rsidRDefault="00C54B8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b/>
          <w:bCs/>
          <w:color w:val="000000" w:themeColor="text1"/>
          <w:spacing w:val="-2"/>
          <w:lang w:val="vi-VN"/>
        </w:rPr>
      </w:pPr>
      <w:r w:rsidRPr="002F495D">
        <w:rPr>
          <w:b/>
          <w:bCs/>
          <w:color w:val="000000" w:themeColor="text1"/>
          <w:spacing w:val="-2"/>
          <w:lang w:val="vi-VN"/>
        </w:rPr>
        <w:t>2. Sự cần thiết ban hành</w:t>
      </w:r>
    </w:p>
    <w:p w14:paraId="5C7381F8" w14:textId="77777777" w:rsidR="00730E2A" w:rsidRPr="005A7092" w:rsidRDefault="00730E2A" w:rsidP="00730E2A">
      <w:pPr>
        <w:spacing w:before="60" w:line="228" w:lineRule="auto"/>
        <w:ind w:firstLine="567"/>
        <w:jc w:val="both"/>
        <w:rPr>
          <w:color w:val="000000"/>
          <w:u w:val="single"/>
          <w:lang w:val="vi-VN"/>
        </w:rPr>
      </w:pPr>
      <w:r w:rsidRPr="00ED5F8D">
        <w:rPr>
          <w:color w:val="000000"/>
          <w:lang w:val="vi-VN"/>
        </w:rPr>
        <w:t xml:space="preserve">Ngày 29/9/2025, </w:t>
      </w:r>
      <w:r w:rsidRPr="00D77D05">
        <w:rPr>
          <w:color w:val="000000"/>
          <w:lang w:val="vi-VN"/>
        </w:rPr>
        <w:t xml:space="preserve">Ủy ban nhân dân tỉnh Tuyên Quang </w:t>
      </w:r>
      <w:r>
        <w:rPr>
          <w:color w:val="000000"/>
          <w:lang w:val="nl-NL"/>
        </w:rPr>
        <w:t xml:space="preserve">đã </w:t>
      </w:r>
      <w:r w:rsidRPr="00ED5F8D">
        <w:rPr>
          <w:color w:val="000000"/>
          <w:lang w:val="vi-VN"/>
        </w:rPr>
        <w:t xml:space="preserve">ban hành Quyết định số 764/QĐ-UBND về việc áp dụng các quyết định quy phạm pháp luật của </w:t>
      </w:r>
      <w:r w:rsidRPr="00D77D05">
        <w:rPr>
          <w:color w:val="000000"/>
          <w:lang w:val="vi-VN"/>
        </w:rPr>
        <w:t>Ủy ban nhân dân tỉnh T</w:t>
      </w:r>
      <w:r>
        <w:rPr>
          <w:color w:val="000000"/>
          <w:lang w:val="vi-VN"/>
        </w:rPr>
        <w:t>uyên Quang</w:t>
      </w:r>
      <w:r w:rsidRPr="00ED5F8D">
        <w:rPr>
          <w:color w:val="000000"/>
          <w:lang w:val="vi-VN"/>
        </w:rPr>
        <w:t xml:space="preserve"> và </w:t>
      </w:r>
      <w:r>
        <w:rPr>
          <w:color w:val="000000"/>
          <w:lang w:val="vi-VN"/>
        </w:rPr>
        <w:t xml:space="preserve">Ủy ban nhân dân </w:t>
      </w:r>
      <w:r w:rsidRPr="00ED5F8D">
        <w:rPr>
          <w:color w:val="000000"/>
          <w:lang w:val="vi-VN"/>
        </w:rPr>
        <w:t xml:space="preserve">tỉnh Hà Giang trước sắp xếp trên địa bàn tỉnh Tuyên Quang; trong đó tiếp tục áp dụng trên địa bàn tỉnh Hà Giang trước sắp xếp đối với Quyết định số 34/2018/QĐ-UBND ngày 09/11/2018 của </w:t>
      </w:r>
      <w:r w:rsidRPr="00ED5F8D">
        <w:rPr>
          <w:color w:val="000000"/>
          <w:lang w:val="vi-VN"/>
        </w:rPr>
        <w:lastRenderedPageBreak/>
        <w:t xml:space="preserve">UBND tỉnh Hà Giang trước sắp xếp quy định giá thóc thu thuế sử dụng đất nông nghiệp trên địa bàn tỉnh Hà Giang trước sắp xếp cho đến khi </w:t>
      </w:r>
      <w:r w:rsidRPr="005A7092">
        <w:rPr>
          <w:color w:val="000000"/>
          <w:u w:val="single"/>
          <w:lang w:val="nl-NL"/>
        </w:rPr>
        <w:t xml:space="preserve">ban hành </w:t>
      </w:r>
      <w:r w:rsidRPr="005A7092">
        <w:rPr>
          <w:color w:val="000000"/>
          <w:u w:val="single"/>
          <w:lang w:val="vi-VN"/>
        </w:rPr>
        <w:t>văn bản</w:t>
      </w:r>
      <w:r w:rsidRPr="005A7092">
        <w:rPr>
          <w:color w:val="000000"/>
          <w:u w:val="single"/>
          <w:lang w:val="nl-NL"/>
        </w:rPr>
        <w:t xml:space="preserve"> mới</w:t>
      </w:r>
      <w:r w:rsidRPr="005A7092">
        <w:rPr>
          <w:color w:val="000000"/>
          <w:u w:val="single"/>
          <w:lang w:val="vi-VN"/>
        </w:rPr>
        <w:t>.</w:t>
      </w:r>
    </w:p>
    <w:p w14:paraId="564E0007" w14:textId="77777777" w:rsidR="00730E2A" w:rsidRPr="002077A1" w:rsidRDefault="00730E2A" w:rsidP="00730E2A">
      <w:pPr>
        <w:spacing w:before="60" w:line="228" w:lineRule="auto"/>
        <w:ind w:firstLine="567"/>
        <w:jc w:val="both"/>
        <w:rPr>
          <w:color w:val="000000"/>
          <w:lang w:val="vi-VN"/>
        </w:rPr>
      </w:pPr>
      <w:r w:rsidRPr="002077A1">
        <w:rPr>
          <w:color w:val="000000"/>
          <w:lang w:val="vi-VN"/>
        </w:rPr>
        <w:t>Thực hiện Văn bản số 2934/UBND-KTN ngày 28/4/2026 của UBND tỉnh về việc giao Sở Tài chính nghiên cứu các quy định pháp luật hiện hành và ý kiến tham gia của Sở Tư pháp tại Văn bản số 1060/STP-XDKTVB&amp;THPL ngày 21/4/2026 để tham mưu, đề xuất với UBND tỉnh, Sở Tài chính</w:t>
      </w:r>
      <w:r>
        <w:rPr>
          <w:color w:val="000000"/>
          <w:lang w:val="vi-VN"/>
        </w:rPr>
        <w:t xml:space="preserve"> đã</w:t>
      </w:r>
      <w:r w:rsidRPr="002077A1">
        <w:rPr>
          <w:color w:val="000000"/>
          <w:lang w:val="vi-VN"/>
        </w:rPr>
        <w:t xml:space="preserve"> rà soát và nhận thấy Quyết định số 34/2018/QĐ-UBND ngày 09/11/2018 của UBND tỉnh Hà Giang trước sắp xếp không còn phù hợp với quy định pháp luật hiện hành và tình hình thực tế của địa phương, cụ thể như sau:</w:t>
      </w:r>
    </w:p>
    <w:p w14:paraId="3DB799D3" w14:textId="77777777" w:rsidR="00730E2A" w:rsidRDefault="00730E2A" w:rsidP="00730E2A">
      <w:pPr>
        <w:spacing w:before="60" w:line="228" w:lineRule="auto"/>
        <w:ind w:firstLine="567"/>
        <w:jc w:val="both"/>
        <w:rPr>
          <w:color w:val="000000"/>
          <w:lang w:val="vi-VN"/>
        </w:rPr>
      </w:pPr>
      <w:r w:rsidRPr="002077A1">
        <w:rPr>
          <w:b/>
          <w:color w:val="000000"/>
          <w:lang w:val="vi-VN"/>
        </w:rPr>
        <w:t>(1)</w:t>
      </w:r>
      <w:r w:rsidRPr="002077A1">
        <w:rPr>
          <w:color w:val="000000"/>
          <w:lang w:val="vi-VN"/>
        </w:rPr>
        <w:t xml:space="preserve"> </w:t>
      </w:r>
      <w:r w:rsidRPr="00D77D05">
        <w:rPr>
          <w:color w:val="000000"/>
          <w:lang w:val="vi-VN"/>
        </w:rPr>
        <w:t xml:space="preserve">Pháp luật hiện hành </w:t>
      </w:r>
      <w:r w:rsidRPr="002077A1">
        <w:rPr>
          <w:b/>
          <w:color w:val="000000"/>
          <w:lang w:val="vi-VN"/>
        </w:rPr>
        <w:t>không giao thẩm quyền</w:t>
      </w:r>
      <w:r w:rsidRPr="00D77D05">
        <w:rPr>
          <w:color w:val="000000"/>
          <w:lang w:val="vi-VN"/>
        </w:rPr>
        <w:t xml:space="preserve"> cho Ủy ban nhân dân tỉnh </w:t>
      </w:r>
      <w:r w:rsidRPr="002077A1">
        <w:rPr>
          <w:color w:val="000000"/>
          <w:lang w:val="vi-VN"/>
        </w:rPr>
        <w:t xml:space="preserve">ban hành quy định </w:t>
      </w:r>
      <w:r>
        <w:rPr>
          <w:color w:val="000000"/>
          <w:lang w:val="vi-VN"/>
        </w:rPr>
        <w:t>các</w:t>
      </w:r>
      <w:r w:rsidRPr="002077A1">
        <w:rPr>
          <w:color w:val="000000"/>
          <w:lang w:val="vi-VN"/>
        </w:rPr>
        <w:t xml:space="preserve"> nội dung đang được điều chỉnh tại Quyết định số 34/2018/QĐ-UBND ngày 09/11/2018.</w:t>
      </w:r>
    </w:p>
    <w:p w14:paraId="59814426" w14:textId="7A26CDF1" w:rsidR="00730E2A" w:rsidRDefault="00730E2A" w:rsidP="00730E2A">
      <w:pPr>
        <w:spacing w:before="60" w:line="228" w:lineRule="auto"/>
        <w:ind w:firstLine="567"/>
        <w:jc w:val="both"/>
        <w:rPr>
          <w:lang w:val="vi-VN"/>
        </w:rPr>
      </w:pPr>
      <w:r w:rsidRPr="00D77D05">
        <w:rPr>
          <w:b/>
          <w:bCs/>
          <w:color w:val="000000"/>
          <w:lang w:val="vi-VN"/>
        </w:rPr>
        <w:t xml:space="preserve">(2) </w:t>
      </w:r>
      <w:r w:rsidRPr="00D77D05">
        <w:rPr>
          <w:color w:val="000000"/>
          <w:lang w:val="vi-VN"/>
        </w:rPr>
        <w:t xml:space="preserve">Nội dung của Quyết định chủ yếu viện dẫn thực hiện theo văn bản quy phạm pháp luật của cơ quan nhà nước cấp trên; một số quy định </w:t>
      </w:r>
      <w:r w:rsidRPr="00D77D05">
        <w:rPr>
          <w:bCs/>
          <w:lang w:val="nl-NL"/>
        </w:rPr>
        <w:t xml:space="preserve">của </w:t>
      </w:r>
      <w:r w:rsidRPr="00D77D05">
        <w:rPr>
          <w:b/>
          <w:lang w:val="nl-NL"/>
        </w:rPr>
        <w:t>cấp huyện</w:t>
      </w:r>
      <w:r>
        <w:rPr>
          <w:b/>
          <w:lang w:val="nl-NL"/>
        </w:rPr>
        <w:t>, thành phố</w:t>
      </w:r>
      <w:r w:rsidRPr="00D77D05">
        <w:rPr>
          <w:bCs/>
          <w:lang w:val="nl-NL"/>
        </w:rPr>
        <w:t xml:space="preserve"> đã không còn phù hợp với </w:t>
      </w:r>
      <w:r w:rsidRPr="00E62766">
        <w:rPr>
          <w:bCs/>
          <w:lang w:val="nl-NL"/>
        </w:rPr>
        <w:t>mô hình tổ chức chính quyền địa phương 02 cấp</w:t>
      </w:r>
      <w:r w:rsidRPr="00D77D05">
        <w:rPr>
          <w:bCs/>
          <w:lang w:val="nl-NL"/>
        </w:rPr>
        <w:t xml:space="preserve"> hiện nay</w:t>
      </w:r>
      <w:r w:rsidRPr="00E62766">
        <w:rPr>
          <w:bCs/>
          <w:lang w:val="nl-NL"/>
        </w:rPr>
        <w:t>; tên gọi, chức năng, nhiệm vụ của một số cơ quan, đơn vị đã thay đổi sau</w:t>
      </w:r>
      <w:r w:rsidRPr="0054616E">
        <w:rPr>
          <w:spacing w:val="-6"/>
          <w:lang w:val="vi-VN" w:eastAsia="en-GB"/>
        </w:rPr>
        <w:t xml:space="preserve"> khi thực hiện sắp xếp tổ chức bộ máy và sắp xếp đơn vị hành chính cấp tỉnh từ ngày 01/7/2025.</w:t>
      </w:r>
    </w:p>
    <w:p w14:paraId="4F205C6A" w14:textId="77777777" w:rsidR="00730E2A" w:rsidRPr="00D17E6D" w:rsidRDefault="00730E2A" w:rsidP="00730E2A">
      <w:pPr>
        <w:spacing w:before="60" w:line="228" w:lineRule="auto"/>
        <w:ind w:firstLine="567"/>
        <w:jc w:val="both"/>
        <w:rPr>
          <w:lang w:val="vi-VN"/>
        </w:rPr>
      </w:pPr>
      <w:r w:rsidRPr="00D17E6D">
        <w:rPr>
          <w:lang w:val="vi-VN"/>
        </w:rPr>
        <w:t>Ngày 06/11/2025 Chính phủ đã ban hành Nghị định số 292/2025/NĐ-CP quy định chi tiết và hướng dẫn thi hành Nghị quyết số 216/2025/QH15 ngày 26/6/2025 của Quốc hội về việc kéo dài thời hạn miễn thuế sử dụng đất nông nghiệp. Trong đó thời hạn miễn thuế sử dụng đất nông nghiệp quy định tại Nghị định này được thực hiện từ ngày 01 tháng 01 năm 2026 đến hết ngày 31/12/2030.</w:t>
      </w:r>
    </w:p>
    <w:p w14:paraId="27863CF4" w14:textId="77777777" w:rsidR="00730E2A" w:rsidRPr="00CE6C5E" w:rsidRDefault="00730E2A" w:rsidP="00730E2A">
      <w:pPr>
        <w:spacing w:before="60" w:line="228" w:lineRule="auto"/>
        <w:ind w:firstLine="567"/>
        <w:jc w:val="both"/>
        <w:rPr>
          <w:i/>
          <w:lang w:val="nl-NL"/>
        </w:rPr>
      </w:pPr>
      <w:r w:rsidRPr="00CE6C5E">
        <w:rPr>
          <w:spacing w:val="-4"/>
          <w:lang w:val="nl-NL"/>
        </w:rPr>
        <w:t xml:space="preserve">Tuy nhiên, tại khoản 4 Điều 2 Nghị định số 292/2025/NĐ-CP </w:t>
      </w:r>
      <w:r w:rsidRPr="00CE6C5E">
        <w:rPr>
          <w:lang w:val="nl-NL"/>
        </w:rPr>
        <w:t>ngày 06/11/2025</w:t>
      </w:r>
      <w:r w:rsidRPr="00CE6C5E">
        <w:rPr>
          <w:spacing w:val="-4"/>
          <w:lang w:val="nl-NL"/>
        </w:rPr>
        <w:t xml:space="preserve"> của Chính phủ quy định: </w:t>
      </w:r>
      <w:r w:rsidRPr="00CE6C5E">
        <w:rPr>
          <w:i/>
          <w:spacing w:val="-4"/>
          <w:lang w:val="nl-NL"/>
        </w:rPr>
        <w:t>“....</w:t>
      </w:r>
      <w:r w:rsidRPr="00CE6C5E">
        <w:rPr>
          <w:rFonts w:ascii="Arial" w:hAnsi="Arial" w:cs="Arial"/>
          <w:shd w:val="clear" w:color="auto" w:fill="FFFFFF"/>
          <w:lang w:val="nl-NL"/>
        </w:rPr>
        <w:t xml:space="preserve"> </w:t>
      </w:r>
      <w:r w:rsidRPr="00CE6C5E">
        <w:rPr>
          <w:i/>
          <w:shd w:val="clear" w:color="auto" w:fill="FFFFFF"/>
          <w:lang w:val="nl-NL"/>
        </w:rPr>
        <w:t>Đối với diện tích đất nông nghiệp mà Nhà nước giao cho tổ chức kinh tế, tổ chức chính trị, tổ chức chính trị - xã hội, tổ chức xã hội - nghề nghiệp, đơn vị sự nghiệp và các đơn vị khác đang quản lý nhưng không trực tiếp sử dụng đất để sản xuất nông nghiệp mà giao cho tổ chức, cá nhân khác nhận thầu theo hợp đồng để sản xuất nông nghiệp thì thực hiện thu hồi đất theo quy định của </w:t>
      </w:r>
      <w:bookmarkStart w:id="1" w:name="tvpllink_spowirtlzs"/>
      <w:r w:rsidRPr="00CE6C5E">
        <w:rPr>
          <w:i/>
          <w:shd w:val="clear" w:color="auto" w:fill="FFFFFF"/>
        </w:rPr>
        <w:fldChar w:fldCharType="begin"/>
      </w:r>
      <w:r w:rsidRPr="00CE6C5E">
        <w:rPr>
          <w:i/>
          <w:shd w:val="clear" w:color="auto" w:fill="FFFFFF"/>
          <w:lang w:val="nl-NL"/>
        </w:rPr>
        <w:instrText xml:space="preserve"> HYPERLINK "https://thuvienphapluat.vn/van-ban/Bat-dong-san/Luat-Dat-dai-2024-31-2024-QH15-523642.aspx" \t "_blank" </w:instrText>
      </w:r>
      <w:r w:rsidRPr="00CE6C5E">
        <w:rPr>
          <w:i/>
          <w:shd w:val="clear" w:color="auto" w:fill="FFFFFF"/>
        </w:rPr>
        <w:fldChar w:fldCharType="separate"/>
      </w:r>
      <w:r w:rsidRPr="00CE6C5E">
        <w:rPr>
          <w:i/>
          <w:lang w:val="nl-NL"/>
        </w:rPr>
        <w:t>Luật Đất đai</w:t>
      </w:r>
      <w:r w:rsidRPr="00CE6C5E">
        <w:rPr>
          <w:i/>
          <w:shd w:val="clear" w:color="auto" w:fill="FFFFFF"/>
        </w:rPr>
        <w:fldChar w:fldCharType="end"/>
      </w:r>
      <w:bookmarkEnd w:id="1"/>
      <w:r w:rsidRPr="00CE6C5E">
        <w:rPr>
          <w:i/>
          <w:shd w:val="clear" w:color="auto" w:fill="FFFFFF"/>
          <w:lang w:val="nl-NL"/>
        </w:rPr>
        <w:t xml:space="preserve">; </w:t>
      </w:r>
      <w:r w:rsidRPr="00CE6C5E">
        <w:rPr>
          <w:i/>
          <w:u w:val="single"/>
          <w:shd w:val="clear" w:color="auto" w:fill="FFFFFF"/>
          <w:lang w:val="nl-NL"/>
        </w:rPr>
        <w:t>trong thời gian Nhà nước chưa thu hồi đất thì phải nộp 100% thuế sử dụng đất nông nghiệp</w:t>
      </w:r>
      <w:r w:rsidRPr="00CE6C5E">
        <w:rPr>
          <w:i/>
          <w:shd w:val="clear" w:color="auto" w:fill="FFFFFF"/>
          <w:lang w:val="nl-NL"/>
        </w:rPr>
        <w:t>”</w:t>
      </w:r>
      <w:r w:rsidRPr="00CE6C5E">
        <w:rPr>
          <w:rFonts w:ascii="Arial" w:hAnsi="Arial" w:cs="Arial"/>
          <w:shd w:val="clear" w:color="auto" w:fill="FFFFFF"/>
          <w:lang w:val="nl-NL"/>
        </w:rPr>
        <w:t>.</w:t>
      </w:r>
    </w:p>
    <w:p w14:paraId="63DD2C70" w14:textId="77777777" w:rsidR="00730E2A" w:rsidRDefault="00730E2A" w:rsidP="00730E2A">
      <w:pPr>
        <w:spacing w:before="60" w:line="228" w:lineRule="auto"/>
        <w:ind w:firstLine="567"/>
        <w:jc w:val="both"/>
        <w:rPr>
          <w:spacing w:val="-4"/>
          <w:lang w:val="nl-NL"/>
        </w:rPr>
      </w:pPr>
      <w:r>
        <w:rPr>
          <w:spacing w:val="-4"/>
          <w:lang w:val="nl-NL"/>
        </w:rPr>
        <w:t>N</w:t>
      </w:r>
      <w:r w:rsidRPr="00CE6C5E">
        <w:rPr>
          <w:spacing w:val="-4"/>
          <w:lang w:val="nl-NL"/>
        </w:rPr>
        <w:t>gày 29/4/2026, Sở Tài chính đã ban hành văn bản số 3026/STC-GCS ngày 29/4/2026 đề nghị Sở Nông nghiệp và Môi trường, Thuế tỉnh Tuyên Quang và Ủy ban nhân dân các xã, phường rà soát, xác định đối tượng nộp thuế sử dụng đất nông nghiệp trên địa bàn các xã, phường. Kết quả rà soát</w:t>
      </w:r>
      <w:r>
        <w:rPr>
          <w:spacing w:val="-4"/>
          <w:lang w:val="nl-NL"/>
        </w:rPr>
        <w:t xml:space="preserve"> của các cơ quan, đơn vị, cụ thể</w:t>
      </w:r>
      <w:r w:rsidRPr="00CE6C5E">
        <w:rPr>
          <w:spacing w:val="-4"/>
          <w:lang w:val="nl-NL"/>
        </w:rPr>
        <w:t xml:space="preserve">: </w:t>
      </w:r>
      <w:r>
        <w:rPr>
          <w:spacing w:val="-4"/>
          <w:lang w:val="nl-NL"/>
        </w:rPr>
        <w:t xml:space="preserve">Các </w:t>
      </w:r>
      <w:r w:rsidRPr="00CE6C5E">
        <w:rPr>
          <w:spacing w:val="-4"/>
          <w:lang w:val="nl-NL"/>
        </w:rPr>
        <w:t xml:space="preserve">đối tượng </w:t>
      </w:r>
      <w:r>
        <w:rPr>
          <w:spacing w:val="-4"/>
          <w:lang w:val="nl-NL"/>
        </w:rPr>
        <w:t>đều thuộc</w:t>
      </w:r>
      <w:r w:rsidRPr="00CE6C5E">
        <w:rPr>
          <w:spacing w:val="-4"/>
          <w:lang w:val="nl-NL"/>
        </w:rPr>
        <w:t xml:space="preserve"> miễn thuế sử dụng đất nông nghiệp quy định tại Điều 2 Nghị định số 292/2025/NĐ-CP </w:t>
      </w:r>
      <w:r w:rsidRPr="00CE6C5E">
        <w:rPr>
          <w:lang w:val="nl-NL"/>
        </w:rPr>
        <w:t>ngày 06/11/2025</w:t>
      </w:r>
      <w:r w:rsidRPr="00CE6C5E">
        <w:rPr>
          <w:spacing w:val="-4"/>
          <w:lang w:val="nl-NL"/>
        </w:rPr>
        <w:t xml:space="preserve"> của Chính phủ</w:t>
      </w:r>
      <w:r>
        <w:rPr>
          <w:spacing w:val="-4"/>
          <w:lang w:val="nl-NL"/>
        </w:rPr>
        <w:t>.</w:t>
      </w:r>
    </w:p>
    <w:p w14:paraId="36FEAFB0" w14:textId="77777777" w:rsidR="00730E2A" w:rsidRDefault="00730E2A" w:rsidP="00730E2A">
      <w:pPr>
        <w:spacing w:before="60" w:line="228" w:lineRule="auto"/>
        <w:ind w:firstLine="567"/>
        <w:jc w:val="both"/>
        <w:rPr>
          <w:lang w:val="nl-NL"/>
        </w:rPr>
      </w:pPr>
      <w:r>
        <w:rPr>
          <w:spacing w:val="-4"/>
          <w:lang w:val="nl-NL"/>
        </w:rPr>
        <w:t xml:space="preserve">Qua rà soát thêm các giai đoạn trước đây, từ năm 2003 đến năm 2025 Quốc hội liên tục ban hành các Nghị quyết về việc miễn, giảm </w:t>
      </w:r>
      <w:r w:rsidRPr="00D17E6D">
        <w:rPr>
          <w:lang w:val="nl-NL"/>
        </w:rPr>
        <w:t xml:space="preserve">thuế sử dụng đất nông nghiệp </w:t>
      </w:r>
      <w:r w:rsidRPr="00D17E6D">
        <w:rPr>
          <w:i/>
          <w:lang w:val="nl-NL"/>
        </w:rPr>
        <w:t>(tại Nghị quyết số 15/2003/QH11 ngày 17/6/2003; Nghị quyết số 55/2010/QH12 ngày 24/11/2010; Nghị quyết số 28/2016/QH14 ngày 11/11/2016; Nghị quyết số 107/2020/QH14 ngày 10/6/2020)</w:t>
      </w:r>
      <w:r w:rsidRPr="00D17E6D">
        <w:rPr>
          <w:lang w:val="nl-NL"/>
        </w:rPr>
        <w:t xml:space="preserve">: </w:t>
      </w:r>
      <w:r>
        <w:rPr>
          <w:spacing w:val="-4"/>
          <w:lang w:val="nl-NL"/>
        </w:rPr>
        <w:t xml:space="preserve">Các </w:t>
      </w:r>
      <w:r w:rsidRPr="00CE6C5E">
        <w:rPr>
          <w:spacing w:val="-4"/>
          <w:lang w:val="nl-NL"/>
        </w:rPr>
        <w:t xml:space="preserve">đối tượng </w:t>
      </w:r>
      <w:r>
        <w:rPr>
          <w:spacing w:val="-4"/>
          <w:lang w:val="nl-NL"/>
        </w:rPr>
        <w:t>đều thuộc</w:t>
      </w:r>
      <w:r w:rsidRPr="00CE6C5E">
        <w:rPr>
          <w:spacing w:val="-4"/>
          <w:lang w:val="nl-NL"/>
        </w:rPr>
        <w:t xml:space="preserve"> miễn </w:t>
      </w:r>
      <w:r>
        <w:rPr>
          <w:spacing w:val="-4"/>
          <w:lang w:val="nl-NL"/>
        </w:rPr>
        <w:t xml:space="preserve">100% </w:t>
      </w:r>
      <w:r w:rsidRPr="00CE6C5E">
        <w:rPr>
          <w:spacing w:val="-4"/>
          <w:lang w:val="nl-NL"/>
        </w:rPr>
        <w:t>thuế sử dụng đất nông nghiệp</w:t>
      </w:r>
      <w:r>
        <w:rPr>
          <w:spacing w:val="-4"/>
          <w:lang w:val="nl-NL"/>
        </w:rPr>
        <w:t xml:space="preserve"> và</w:t>
      </w:r>
      <w:r w:rsidRPr="00D17E6D">
        <w:rPr>
          <w:lang w:val="nl-NL"/>
        </w:rPr>
        <w:t xml:space="preserve"> </w:t>
      </w:r>
      <w:r>
        <w:rPr>
          <w:lang w:val="nl-NL"/>
        </w:rPr>
        <w:t xml:space="preserve">không </w:t>
      </w:r>
      <w:r w:rsidRPr="00D17E6D">
        <w:rPr>
          <w:lang w:val="nl-NL"/>
        </w:rPr>
        <w:t>phát sinh đối tượng thuộc diện giảm thuế sử dụng đất nông nghiệp trong trường hợp vượt hạn mức theo quy định của pháp luật.</w:t>
      </w:r>
    </w:p>
    <w:p w14:paraId="0023547F" w14:textId="399C2CA0" w:rsidR="00C54B8D" w:rsidRPr="009A2322" w:rsidRDefault="00C54B8D" w:rsidP="00645032">
      <w:pPr>
        <w:spacing w:before="60" w:line="340" w:lineRule="exact"/>
        <w:ind w:firstLine="567"/>
        <w:jc w:val="both"/>
        <w:rPr>
          <w:b/>
          <w:i/>
          <w:iCs/>
          <w:color w:val="000000" w:themeColor="text1"/>
          <w:lang w:val="es-MX"/>
        </w:rPr>
      </w:pPr>
      <w:r w:rsidRPr="002F495D">
        <w:rPr>
          <w:color w:val="000000" w:themeColor="text1"/>
          <w:spacing w:val="-2"/>
          <w:lang w:val="vi-VN"/>
        </w:rPr>
        <w:lastRenderedPageBreak/>
        <w:t xml:space="preserve">Mặt khác, ngày </w:t>
      </w:r>
      <w:r w:rsidRPr="0074541D">
        <w:rPr>
          <w:color w:val="000000" w:themeColor="text1"/>
          <w:lang w:val="es-MX"/>
        </w:rPr>
        <w:t xml:space="preserve">06/10/2025, Bộ Tư pháp có </w:t>
      </w:r>
      <w:r w:rsidRPr="0074541D">
        <w:rPr>
          <w:color w:val="000000" w:themeColor="text1"/>
          <w:spacing w:val="-4"/>
          <w:lang w:val="es-MX"/>
        </w:rPr>
        <w:t>Văn bản số 6243/BTP-KTVB&amp;QLXLVPHC</w:t>
      </w:r>
      <w:r w:rsidRPr="0074541D">
        <w:rPr>
          <w:color w:val="000000" w:themeColor="text1"/>
          <w:lang w:val="es-MX"/>
        </w:rPr>
        <w:t xml:space="preserve"> về việc xử lý văn bản chịu sự tác động của việc sắp xếp tổ chức bộ máy, trong đó chỉ đạo: </w:t>
      </w:r>
      <w:r w:rsidRPr="0074541D">
        <w:rPr>
          <w:i/>
          <w:iCs/>
          <w:color w:val="000000" w:themeColor="text1"/>
          <w:lang w:val="es-MX"/>
        </w:rPr>
        <w:t>“Các địa phương hoàn thành việc sửa đổi, bổ sung, bãi bỏ, thay thế, ban hành</w:t>
      </w:r>
      <w:r w:rsidRPr="009A2322">
        <w:rPr>
          <w:i/>
          <w:iCs/>
          <w:color w:val="000000" w:themeColor="text1"/>
          <w:lang w:val="es-MX"/>
        </w:rPr>
        <w:t xml:space="preserve"> mới các văn bản của địa phương chịu sự tác động của việc sắp xếp tổ chức bộ máy </w:t>
      </w:r>
      <w:r w:rsidRPr="009A2322">
        <w:rPr>
          <w:b/>
          <w:i/>
          <w:iCs/>
          <w:color w:val="000000" w:themeColor="text1"/>
          <w:lang w:val="es-MX"/>
        </w:rPr>
        <w:t>trước ngày 01/6/2026”.</w:t>
      </w:r>
    </w:p>
    <w:p w14:paraId="34E2FD97" w14:textId="77777777" w:rsidR="00730E2A" w:rsidRDefault="00730E2A" w:rsidP="00730E2A">
      <w:pPr>
        <w:spacing w:before="60" w:line="228" w:lineRule="auto"/>
        <w:ind w:firstLine="567"/>
        <w:jc w:val="both"/>
        <w:rPr>
          <w:spacing w:val="-4"/>
          <w:lang w:val="nl-NL"/>
        </w:rPr>
      </w:pPr>
      <w:r w:rsidRPr="0054616E">
        <w:rPr>
          <w:color w:val="000000"/>
          <w:lang w:val="vi-VN"/>
        </w:rPr>
        <w:t>Từ các căn cứ nêu trên, việc tiếp tục duy trì</w:t>
      </w:r>
      <w:r w:rsidRPr="0054616E">
        <w:rPr>
          <w:color w:val="000000"/>
          <w:lang w:val="nl-NL"/>
        </w:rPr>
        <w:t xml:space="preserve"> t</w:t>
      </w:r>
      <w:r>
        <w:rPr>
          <w:color w:val="000000"/>
          <w:lang w:val="nl-NL"/>
        </w:rPr>
        <w:t>hực hiện</w:t>
      </w:r>
      <w:r w:rsidRPr="0054616E">
        <w:rPr>
          <w:color w:val="000000"/>
          <w:lang w:val="vi-VN"/>
        </w:rPr>
        <w:t xml:space="preserve"> Quyết định số 34/2018/QĐ-UBND ngày 09/11/2018 của UBND tỉnh Hà Giang trước sắp xếp không còn phù hợp với quy định pháp luật hiện hành và tình hình thực tế tại địa phương; do đó, việc ban hành Quyết định bãi bỏ là cần thiết</w:t>
      </w:r>
      <w:r w:rsidRPr="00353F7A">
        <w:rPr>
          <w:color w:val="000000"/>
          <w:lang w:val="vi-VN"/>
        </w:rPr>
        <w:t>; các nội dung thuộc phạm vi điều chỉnh</w:t>
      </w:r>
      <w:r w:rsidRPr="00D77D05">
        <w:rPr>
          <w:color w:val="000000"/>
          <w:lang w:val="vi-VN"/>
        </w:rPr>
        <w:t xml:space="preserve"> của Quyết định này </w:t>
      </w:r>
      <w:r w:rsidRPr="009025C3">
        <w:rPr>
          <w:color w:val="000000"/>
          <w:lang w:val="nl-NL"/>
        </w:rPr>
        <w:t>đ</w:t>
      </w:r>
      <w:r>
        <w:rPr>
          <w:color w:val="000000"/>
          <w:lang w:val="nl-NL"/>
        </w:rPr>
        <w:t xml:space="preserve">ược </w:t>
      </w:r>
      <w:r w:rsidRPr="00D77D05">
        <w:rPr>
          <w:color w:val="000000"/>
          <w:lang w:val="vi-VN"/>
        </w:rPr>
        <w:t>thực hiện theo quy định của pháp luật hiện hành có liên quan</w:t>
      </w:r>
      <w:r w:rsidRPr="008D5730">
        <w:rPr>
          <w:spacing w:val="-4"/>
          <w:lang w:val="nl-NL"/>
        </w:rPr>
        <w:t>.</w:t>
      </w:r>
      <w:r>
        <w:rPr>
          <w:spacing w:val="-4"/>
          <w:lang w:val="nl-NL"/>
        </w:rPr>
        <w:t xml:space="preserve"> </w:t>
      </w:r>
    </w:p>
    <w:p w14:paraId="2A1EBCFE" w14:textId="77777777" w:rsidR="00314432" w:rsidRPr="009A2322" w:rsidRDefault="00314432" w:rsidP="00645032">
      <w:pPr>
        <w:spacing w:before="60" w:line="340" w:lineRule="exact"/>
        <w:ind w:firstLine="567"/>
        <w:jc w:val="both"/>
        <w:rPr>
          <w:b/>
          <w:bCs/>
          <w:color w:val="000000" w:themeColor="text1"/>
          <w:lang w:val="nl-NL"/>
        </w:rPr>
      </w:pPr>
      <w:bookmarkStart w:id="2" w:name="_GoBack"/>
      <w:bookmarkEnd w:id="2"/>
      <w:r w:rsidRPr="009A2322">
        <w:rPr>
          <w:b/>
          <w:bCs/>
          <w:color w:val="000000" w:themeColor="text1"/>
          <w:lang w:val="nl-NL"/>
        </w:rPr>
        <w:t>II. MỤC ĐÍCH, QUAN ĐIỂM XÂY DỰNG QUYẾT ĐỊNH</w:t>
      </w:r>
    </w:p>
    <w:p w14:paraId="784516F0" w14:textId="77777777" w:rsidR="00314432" w:rsidRPr="009A2322" w:rsidRDefault="00314432" w:rsidP="00645032">
      <w:pPr>
        <w:tabs>
          <w:tab w:val="right" w:leader="dot" w:pos="7920"/>
        </w:tabs>
        <w:spacing w:before="60" w:line="340" w:lineRule="exact"/>
        <w:ind w:firstLine="567"/>
        <w:jc w:val="both"/>
        <w:rPr>
          <w:color w:val="000000" w:themeColor="text1"/>
          <w:lang w:val="nl-NL"/>
        </w:rPr>
      </w:pPr>
      <w:r w:rsidRPr="009A2322">
        <w:rPr>
          <w:b/>
          <w:color w:val="000000" w:themeColor="text1"/>
          <w:lang w:val="vi-VN"/>
        </w:rPr>
        <w:t>1. Mục đích</w:t>
      </w:r>
    </w:p>
    <w:p w14:paraId="0D8DFE03" w14:textId="25D840FE"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nl-NL"/>
        </w:rPr>
        <w:t xml:space="preserve">Kịp thời </w:t>
      </w:r>
      <w:r w:rsidR="005D3721" w:rsidRPr="009A2322">
        <w:rPr>
          <w:color w:val="000000" w:themeColor="text1"/>
          <w:lang w:val="nl-NL"/>
        </w:rPr>
        <w:t>bãi bỏ</w:t>
      </w:r>
      <w:r w:rsidRPr="009A2322">
        <w:rPr>
          <w:color w:val="000000" w:themeColor="text1"/>
          <w:lang w:val="nl-NL"/>
        </w:rPr>
        <w:t xml:space="preserve"> những văn bản quy phạm pháp luật </w:t>
      </w:r>
      <w:r w:rsidR="00C54B8D" w:rsidRPr="009A2322">
        <w:rPr>
          <w:color w:val="000000" w:themeColor="text1"/>
          <w:lang w:val="nl-NL"/>
        </w:rPr>
        <w:t xml:space="preserve">của Ủy ban nhân dân tỉnh </w:t>
      </w:r>
      <w:r w:rsidR="00052886">
        <w:rPr>
          <w:color w:val="000000" w:themeColor="text1"/>
          <w:lang w:val="nl-NL"/>
        </w:rPr>
        <w:t>Hà Giang</w:t>
      </w:r>
      <w:r w:rsidR="00C54B8D" w:rsidRPr="009A2322">
        <w:rPr>
          <w:color w:val="000000" w:themeColor="text1"/>
          <w:lang w:val="nl-NL"/>
        </w:rPr>
        <w:t xml:space="preserve"> trước sắp xếp </w:t>
      </w:r>
      <w:r w:rsidRPr="009A2322">
        <w:rPr>
          <w:color w:val="000000" w:themeColor="text1"/>
          <w:lang w:val="nl-NL"/>
        </w:rPr>
        <w:t>có nội dung không còn phù hợp với quy định của pháp luật hiện hành và tình hình phát triển kinh tế - xã hội của địa phương</w:t>
      </w:r>
      <w:r w:rsidR="00C54B8D" w:rsidRPr="009A2322">
        <w:rPr>
          <w:color w:val="000000" w:themeColor="text1"/>
          <w:lang w:val="nl-NL"/>
        </w:rPr>
        <w:t xml:space="preserve"> </w:t>
      </w:r>
      <w:r w:rsidR="00C54B8D" w:rsidRPr="009A2322">
        <w:rPr>
          <w:color w:val="000000" w:themeColor="text1"/>
          <w:spacing w:val="-4"/>
          <w:lang w:val="es-MX"/>
        </w:rPr>
        <w:t>theo đúng chỉ đạo của Bộ Tư pháp tại Văn bản số 6243/BTP-KTVB&amp;QLXLVPHC</w:t>
      </w:r>
      <w:r w:rsidR="00C54B8D" w:rsidRPr="009A2322">
        <w:rPr>
          <w:color w:val="000000" w:themeColor="text1"/>
          <w:lang w:val="es-MX"/>
        </w:rPr>
        <w:t xml:space="preserve"> ngày 06/10/</w:t>
      </w:r>
      <w:r w:rsidR="00E71305">
        <w:rPr>
          <w:color w:val="000000" w:themeColor="text1"/>
          <w:lang w:val="es-MX"/>
        </w:rPr>
        <w:t xml:space="preserve">2025 và chỉ đạo của Ủy ban nhân dân tỉnh tại Văn bản số 2575/UBND-NC ngày 09/10/2025 về việc xử lý văn bản chịu sự tác động của việc sắp xếp bộ máy </w:t>
      </w:r>
      <w:r w:rsidRPr="009A2322">
        <w:rPr>
          <w:color w:val="000000" w:themeColor="text1"/>
          <w:lang w:val="nl-NL"/>
        </w:rPr>
        <w:t>qua đó</w:t>
      </w:r>
      <w:r w:rsidR="00C54B8D" w:rsidRPr="009A2322">
        <w:rPr>
          <w:color w:val="000000" w:themeColor="text1"/>
          <w:lang w:val="nl-NL"/>
        </w:rPr>
        <w:t>,</w:t>
      </w:r>
      <w:r w:rsidRPr="009A2322">
        <w:rPr>
          <w:color w:val="000000" w:themeColor="text1"/>
          <w:lang w:val="nl-NL"/>
        </w:rPr>
        <w:t xml:space="preserve"> hoàn thiện hệ thống văn bản quy phạm pháp luật của tỉnh hợp hiến, hợp pháp, thống nhất và đồng bộ, tạo hành lang pháp lý thuận lợi cho sự phát triển của địa phương.</w:t>
      </w:r>
    </w:p>
    <w:p w14:paraId="1B566048" w14:textId="77777777"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b/>
          <w:color w:val="000000" w:themeColor="text1"/>
          <w:lang w:val="vi-VN"/>
        </w:rPr>
        <w:t>2. Quan điểm xây dựng văn bản</w:t>
      </w:r>
    </w:p>
    <w:p w14:paraId="5BB85D8E" w14:textId="77777777"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 Đảm bảo việc thi hành Hiến pháp, pháp luật.</w:t>
      </w:r>
    </w:p>
    <w:p w14:paraId="4AEA01A7" w14:textId="77777777"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 Phù hợp với pháp luật về ban hành văn bản quy phạm pháp luật và các văn bản pháp luật có liên quan.</w:t>
      </w:r>
    </w:p>
    <w:p w14:paraId="0E4E412F" w14:textId="07E28E9D"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 xml:space="preserve">- Kịp thời </w:t>
      </w:r>
      <w:r w:rsidR="005D3721" w:rsidRPr="002F495D">
        <w:rPr>
          <w:color w:val="000000" w:themeColor="text1"/>
          <w:lang w:val="vi-VN"/>
        </w:rPr>
        <w:t>bãi bỏ</w:t>
      </w:r>
      <w:r w:rsidRPr="009A2322">
        <w:rPr>
          <w:color w:val="000000" w:themeColor="text1"/>
          <w:lang w:val="vi-VN"/>
        </w:rPr>
        <w:t xml:space="preserve"> những văn bản có nội dung không còn phù hợp, góp phần hoàn thiện hệ thống văn bản quy phạm pháp luật của địa phương, thúc đẩy kinh tế - xã hội địa phương ngày càng phát triển.</w:t>
      </w:r>
    </w:p>
    <w:p w14:paraId="722AE0D7" w14:textId="77777777" w:rsidR="00314432" w:rsidRPr="009A2322" w:rsidRDefault="00314432" w:rsidP="00645032">
      <w:pPr>
        <w:shd w:val="clear" w:color="auto" w:fill="FFFFFF"/>
        <w:spacing w:before="60" w:line="340" w:lineRule="exact"/>
        <w:ind w:firstLine="567"/>
        <w:jc w:val="both"/>
        <w:rPr>
          <w:color w:val="000000" w:themeColor="text1"/>
          <w:lang w:val="vi-VN"/>
        </w:rPr>
      </w:pPr>
      <w:r w:rsidRPr="009A2322">
        <w:rPr>
          <w:b/>
          <w:bCs/>
          <w:color w:val="000000" w:themeColor="text1"/>
          <w:lang w:val="vi-VN"/>
        </w:rPr>
        <w:t xml:space="preserve">III. QUÁ TRÌNH XÂY DỰNG DỰ THẢO QUYẾT ĐỊNH </w:t>
      </w:r>
    </w:p>
    <w:p w14:paraId="35138406" w14:textId="0BC456A2" w:rsidR="00314432" w:rsidRPr="00997207" w:rsidRDefault="00314432" w:rsidP="00736164">
      <w:pPr>
        <w:tabs>
          <w:tab w:val="left" w:pos="1384"/>
        </w:tabs>
        <w:spacing w:before="60" w:line="340" w:lineRule="exact"/>
        <w:ind w:firstLine="567"/>
        <w:jc w:val="both"/>
        <w:rPr>
          <w:bCs/>
          <w:color w:val="000000" w:themeColor="text1"/>
          <w:lang w:val="nb-NO"/>
        </w:rPr>
      </w:pPr>
      <w:r w:rsidRPr="009A2322">
        <w:rPr>
          <w:color w:val="000000" w:themeColor="text1"/>
          <w:lang w:val="nb-NO"/>
        </w:rPr>
        <w:t xml:space="preserve">Ngày </w:t>
      </w:r>
      <w:r w:rsidR="00516E2A">
        <w:rPr>
          <w:color w:val="000000" w:themeColor="text1"/>
        </w:rPr>
        <w:t>….</w:t>
      </w:r>
      <w:r w:rsidR="00997207">
        <w:rPr>
          <w:color w:val="000000" w:themeColor="text1"/>
        </w:rPr>
        <w:t>/</w:t>
      </w:r>
      <w:r w:rsidR="00516E2A">
        <w:rPr>
          <w:color w:val="000000" w:themeColor="text1"/>
        </w:rPr>
        <w:t>5</w:t>
      </w:r>
      <w:r w:rsidR="00997207">
        <w:rPr>
          <w:color w:val="000000" w:themeColor="text1"/>
        </w:rPr>
        <w:t>/2026</w:t>
      </w:r>
      <w:r w:rsidR="00B14B9A" w:rsidRPr="009A2322">
        <w:rPr>
          <w:color w:val="000000" w:themeColor="text1"/>
          <w:lang w:val="vi-VN"/>
        </w:rPr>
        <w:t>,</w:t>
      </w:r>
      <w:r w:rsidRPr="009A2322">
        <w:rPr>
          <w:color w:val="000000" w:themeColor="text1"/>
          <w:lang w:val="nb-NO"/>
        </w:rPr>
        <w:t xml:space="preserve"> Sở </w:t>
      </w:r>
      <w:r w:rsidR="00997207">
        <w:rPr>
          <w:color w:val="000000" w:themeColor="text1"/>
          <w:lang w:val="nb-NO"/>
        </w:rPr>
        <w:t>Tài chính</w:t>
      </w:r>
      <w:r w:rsidRPr="009A2322">
        <w:rPr>
          <w:color w:val="000000" w:themeColor="text1"/>
          <w:lang w:val="nb-NO"/>
        </w:rPr>
        <w:t xml:space="preserve"> đã </w:t>
      </w:r>
      <w:r w:rsidR="00997207">
        <w:rPr>
          <w:color w:val="000000" w:themeColor="text1"/>
          <w:lang w:val="nb-NO"/>
        </w:rPr>
        <w:t>có</w:t>
      </w:r>
      <w:r w:rsidRPr="009A2322">
        <w:rPr>
          <w:color w:val="000000" w:themeColor="text1"/>
          <w:lang w:val="nb-NO"/>
        </w:rPr>
        <w:t xml:space="preserve"> Văn bản số</w:t>
      </w:r>
      <w:r w:rsidR="00B14B9A" w:rsidRPr="009A2322">
        <w:rPr>
          <w:color w:val="000000" w:themeColor="text1"/>
          <w:lang w:val="vi-VN"/>
        </w:rPr>
        <w:t xml:space="preserve"> </w:t>
      </w:r>
      <w:r w:rsidR="00997207">
        <w:rPr>
          <w:color w:val="000000" w:themeColor="text1"/>
        </w:rPr>
        <w:t>……STC-GCS</w:t>
      </w:r>
      <w:r w:rsidRPr="009A2322">
        <w:rPr>
          <w:color w:val="000000" w:themeColor="text1"/>
          <w:lang w:val="nb-NO"/>
        </w:rPr>
        <w:t xml:space="preserve"> đề nghị </w:t>
      </w:r>
      <w:r w:rsidR="00997207">
        <w:rPr>
          <w:color w:val="000000" w:themeColor="text1"/>
          <w:lang w:val="nb-NO"/>
        </w:rPr>
        <w:t>các cơ quan, đơn vị, ủy ban nhân dân xã, phường</w:t>
      </w:r>
      <w:r w:rsidR="00C54B8D" w:rsidRPr="009A2322">
        <w:rPr>
          <w:color w:val="000000" w:themeColor="text1"/>
          <w:lang w:val="nb-NO"/>
        </w:rPr>
        <w:t xml:space="preserve"> tham gia ý kiến đối với dự thảo Quyết định</w:t>
      </w:r>
      <w:r w:rsidR="00B625F4">
        <w:rPr>
          <w:color w:val="000000" w:themeColor="text1"/>
          <w:lang w:val="nb-NO"/>
        </w:rPr>
        <w:t xml:space="preserve"> </w:t>
      </w:r>
      <w:r w:rsidR="00633A45" w:rsidRPr="009A2322">
        <w:rPr>
          <w:color w:val="000000" w:themeColor="text1"/>
          <w:lang w:val="vi-VN"/>
        </w:rPr>
        <w:t xml:space="preserve">Bãi bỏ </w:t>
      </w:r>
      <w:r w:rsidR="00052886" w:rsidRPr="00F06A64">
        <w:rPr>
          <w:color w:val="000000"/>
          <w:spacing w:val="4"/>
        </w:rPr>
        <w:t xml:space="preserve">Quyết định số 34/2018/QĐ-UBND ngày </w:t>
      </w:r>
      <w:r w:rsidR="00052886">
        <w:rPr>
          <w:color w:val="000000"/>
          <w:spacing w:val="4"/>
        </w:rPr>
        <w:t xml:space="preserve">09/11/2018 </w:t>
      </w:r>
      <w:r w:rsidR="00052886" w:rsidRPr="00F06A64">
        <w:rPr>
          <w:color w:val="000000"/>
          <w:spacing w:val="4"/>
        </w:rPr>
        <w:t>của UBND tỉnh Hà Giang</w:t>
      </w:r>
      <w:r w:rsidR="00052886" w:rsidRPr="00D77D05">
        <w:t xml:space="preserve"> </w:t>
      </w:r>
      <w:r w:rsidR="00052886">
        <w:t>Quy định giá thóc thu thuế sử dụng đất nông nghiệp trên địa bàn tỉnh Hà Giang</w:t>
      </w:r>
      <w:r w:rsidRPr="009A2322">
        <w:rPr>
          <w:color w:val="000000" w:themeColor="text1"/>
          <w:lang w:val="nb-NO"/>
        </w:rPr>
        <w:t xml:space="preserve">. </w:t>
      </w:r>
      <w:r w:rsidR="00DD678B">
        <w:rPr>
          <w:color w:val="000000" w:themeColor="text1"/>
          <w:lang w:val="nb-NO"/>
        </w:rPr>
        <w:t>Đến ngày ...</w:t>
      </w:r>
      <w:r w:rsidR="00997207">
        <w:rPr>
          <w:color w:val="000000" w:themeColor="text1"/>
          <w:lang w:val="nb-NO"/>
        </w:rPr>
        <w:t>/</w:t>
      </w:r>
      <w:r w:rsidR="00516E2A">
        <w:rPr>
          <w:color w:val="000000" w:themeColor="text1"/>
          <w:lang w:val="nb-NO"/>
        </w:rPr>
        <w:t>5</w:t>
      </w:r>
      <w:r w:rsidR="00997207">
        <w:rPr>
          <w:color w:val="000000" w:themeColor="text1"/>
          <w:lang w:val="nb-NO"/>
        </w:rPr>
        <w:t>/2026, Sở Tài chính nhận được ý kiến tham gia của .... các cơ quan, đơn vị, ủy ban nhân dân xã, phường.</w:t>
      </w:r>
      <w:r w:rsidR="00997207">
        <w:rPr>
          <w:bCs/>
          <w:color w:val="000000" w:themeColor="text1"/>
          <w:lang w:val="nb-NO"/>
        </w:rPr>
        <w:t xml:space="preserve"> </w:t>
      </w:r>
      <w:r w:rsidRPr="009A2322">
        <w:rPr>
          <w:color w:val="000000" w:themeColor="text1"/>
          <w:spacing w:val="2"/>
          <w:lang w:val="vi-VN"/>
        </w:rPr>
        <w:t>Trên cơ sở các ý kiến tham gia</w:t>
      </w:r>
      <w:r w:rsidR="00C54B8D" w:rsidRPr="002F495D">
        <w:rPr>
          <w:color w:val="000000" w:themeColor="text1"/>
          <w:spacing w:val="2"/>
          <w:lang w:val="nb-NO"/>
        </w:rPr>
        <w:t xml:space="preserve"> </w:t>
      </w:r>
      <w:r w:rsidRPr="009A2322">
        <w:rPr>
          <w:color w:val="000000" w:themeColor="text1"/>
          <w:spacing w:val="2"/>
          <w:lang w:val="vi-VN"/>
        </w:rPr>
        <w:t xml:space="preserve">của các cơ quan, đơn vị, Sở </w:t>
      </w:r>
      <w:r w:rsidR="00997207">
        <w:rPr>
          <w:color w:val="000000" w:themeColor="text1"/>
          <w:spacing w:val="2"/>
        </w:rPr>
        <w:t>Tài chính</w:t>
      </w:r>
      <w:r w:rsidR="00997207">
        <w:rPr>
          <w:color w:val="000000" w:themeColor="text1"/>
          <w:spacing w:val="2"/>
          <w:lang w:val="vi-VN"/>
        </w:rPr>
        <w:t xml:space="preserve"> đã tổng hợp</w:t>
      </w:r>
      <w:r w:rsidRPr="009A2322">
        <w:rPr>
          <w:color w:val="000000" w:themeColor="text1"/>
          <w:spacing w:val="2"/>
          <w:lang w:val="vi-VN"/>
        </w:rPr>
        <w:t xml:space="preserve">, tiếp thu ý kiến </w:t>
      </w:r>
      <w:r w:rsidR="00B625F4" w:rsidRPr="002F495D">
        <w:rPr>
          <w:color w:val="000000" w:themeColor="text1"/>
          <w:spacing w:val="2"/>
          <w:lang w:val="nb-NO"/>
        </w:rPr>
        <w:t>góp ý</w:t>
      </w:r>
      <w:r w:rsidRPr="009A2322">
        <w:rPr>
          <w:color w:val="000000" w:themeColor="text1"/>
          <w:spacing w:val="2"/>
          <w:lang w:val="vi-VN"/>
        </w:rPr>
        <w:t>.</w:t>
      </w:r>
    </w:p>
    <w:p w14:paraId="3D2C51E1" w14:textId="39A24205" w:rsidR="00DC157A" w:rsidRPr="009A2322" w:rsidRDefault="00DC157A" w:rsidP="00645032">
      <w:pPr>
        <w:spacing w:before="60" w:line="340" w:lineRule="exact"/>
        <w:ind w:firstLine="567"/>
        <w:jc w:val="both"/>
        <w:rPr>
          <w:b/>
          <w:bCs/>
          <w:color w:val="000000" w:themeColor="text1"/>
          <w:lang w:val="vi-VN"/>
        </w:rPr>
      </w:pPr>
      <w:r w:rsidRPr="009A2322">
        <w:rPr>
          <w:b/>
          <w:bCs/>
          <w:color w:val="000000" w:themeColor="text1"/>
          <w:lang w:val="vi-VN"/>
        </w:rPr>
        <w:t>IV. BỐ CỤC VÀ NỘI DUNG DỰ THẢO VĂN BẢN</w:t>
      </w:r>
    </w:p>
    <w:p w14:paraId="684E0BCD" w14:textId="767548BB" w:rsidR="00DC157A" w:rsidRPr="009A2322" w:rsidRDefault="00DC157A"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Dự thảo Quyết định có 02 Điều, cụ thể:</w:t>
      </w:r>
    </w:p>
    <w:p w14:paraId="5116D539" w14:textId="28CAC3E9" w:rsidR="00C54B8D" w:rsidRPr="00D40223" w:rsidRDefault="00C54B8D" w:rsidP="00645032">
      <w:pPr>
        <w:spacing w:before="60" w:line="340" w:lineRule="exact"/>
        <w:ind w:firstLine="567"/>
        <w:jc w:val="both"/>
        <w:rPr>
          <w:b/>
          <w:color w:val="000000" w:themeColor="text1"/>
        </w:rPr>
      </w:pPr>
      <w:r w:rsidRPr="002F495D">
        <w:rPr>
          <w:b/>
          <w:color w:val="000000" w:themeColor="text1"/>
          <w:lang w:val="vi-VN"/>
        </w:rPr>
        <w:t xml:space="preserve">Điều 1. Bãi bỏ </w:t>
      </w:r>
      <w:r w:rsidR="00D40223">
        <w:rPr>
          <w:b/>
          <w:color w:val="000000" w:themeColor="text1"/>
        </w:rPr>
        <w:t xml:space="preserve">toàn bộ Quyết định </w:t>
      </w:r>
    </w:p>
    <w:p w14:paraId="284EDFEC" w14:textId="0DD6160C" w:rsidR="00D40223" w:rsidRDefault="00C54B8D" w:rsidP="00D40223">
      <w:pPr>
        <w:spacing w:before="60" w:line="340" w:lineRule="exact"/>
        <w:ind w:firstLine="567"/>
        <w:jc w:val="both"/>
        <w:rPr>
          <w:color w:val="000000" w:themeColor="text1"/>
          <w:lang w:val="vi-VN"/>
        </w:rPr>
      </w:pPr>
      <w:r w:rsidRPr="002F495D">
        <w:rPr>
          <w:bCs/>
          <w:color w:val="000000" w:themeColor="text1"/>
          <w:lang w:val="vi-VN"/>
        </w:rPr>
        <w:lastRenderedPageBreak/>
        <w:t xml:space="preserve">Bãi bỏ toàn bộ </w:t>
      </w:r>
      <w:r w:rsidR="00D40223" w:rsidRPr="00F06A64">
        <w:rPr>
          <w:color w:val="000000"/>
          <w:spacing w:val="4"/>
        </w:rPr>
        <w:t xml:space="preserve">Quyết định số 34/2018/QĐ-UBND ngày </w:t>
      </w:r>
      <w:r w:rsidR="00D40223">
        <w:rPr>
          <w:color w:val="000000"/>
          <w:spacing w:val="4"/>
        </w:rPr>
        <w:t xml:space="preserve">09/11/2018 </w:t>
      </w:r>
      <w:r w:rsidR="00D40223" w:rsidRPr="00F06A64">
        <w:rPr>
          <w:color w:val="000000"/>
          <w:spacing w:val="4"/>
        </w:rPr>
        <w:t>của UBND tỉnh Hà Giang</w:t>
      </w:r>
      <w:r w:rsidR="00D40223" w:rsidRPr="00D77D05">
        <w:t xml:space="preserve"> </w:t>
      </w:r>
      <w:r w:rsidR="00D40223">
        <w:t>Quy định giá thóc thu thuế sử dụng đất nông nghiệp trên địa bàn tỉnh Hà Giang</w:t>
      </w:r>
      <w:r w:rsidR="00D40223" w:rsidRPr="00D40223">
        <w:rPr>
          <w:color w:val="000000" w:themeColor="text1"/>
          <w:lang w:val="vi-VN"/>
        </w:rPr>
        <w:t>.</w:t>
      </w:r>
    </w:p>
    <w:p w14:paraId="6102E013" w14:textId="1BF53069" w:rsidR="00B63AF8" w:rsidRPr="002F495D" w:rsidRDefault="00C54B8D" w:rsidP="00D40223">
      <w:pPr>
        <w:spacing w:before="60" w:line="340" w:lineRule="exact"/>
        <w:ind w:firstLine="567"/>
        <w:jc w:val="both"/>
        <w:rPr>
          <w:b/>
          <w:color w:val="000000" w:themeColor="text1"/>
          <w:lang w:val="vi-VN"/>
        </w:rPr>
      </w:pPr>
      <w:r w:rsidRPr="002F495D">
        <w:rPr>
          <w:b/>
          <w:color w:val="000000" w:themeColor="text1"/>
          <w:lang w:val="vi-VN"/>
        </w:rPr>
        <w:t>Điều 2. Điều khoản thi hành</w:t>
      </w:r>
    </w:p>
    <w:p w14:paraId="353B8AD8" w14:textId="5BC31B29" w:rsidR="00156772" w:rsidRPr="00CC6F5E" w:rsidRDefault="00B63AF8" w:rsidP="00645032">
      <w:pPr>
        <w:spacing w:before="60" w:line="340" w:lineRule="exact"/>
        <w:ind w:firstLine="567"/>
        <w:jc w:val="both"/>
        <w:rPr>
          <w:b/>
          <w:color w:val="000000" w:themeColor="text1"/>
          <w:lang w:val="vi-VN"/>
        </w:rPr>
      </w:pPr>
      <w:r w:rsidRPr="009A2322">
        <w:rPr>
          <w:bCs/>
          <w:color w:val="000000" w:themeColor="text1"/>
          <w:spacing w:val="-4"/>
          <w:lang w:val="nb-NO"/>
        </w:rPr>
        <w:t>D</w:t>
      </w:r>
      <w:r w:rsidRPr="009A2322">
        <w:rPr>
          <w:bCs/>
          <w:color w:val="000000" w:themeColor="text1"/>
          <w:spacing w:val="-4"/>
          <w:lang w:val="vi-VN"/>
        </w:rPr>
        <w:t xml:space="preserve">ự thảo </w:t>
      </w:r>
      <w:r w:rsidRPr="009A2322">
        <w:rPr>
          <w:bCs/>
          <w:color w:val="000000" w:themeColor="text1"/>
          <w:spacing w:val="-4"/>
          <w:lang w:val="nb-NO"/>
        </w:rPr>
        <w:t>Quyết định</w:t>
      </w:r>
      <w:r w:rsidRPr="009A2322">
        <w:rPr>
          <w:bCs/>
          <w:color w:val="000000" w:themeColor="text1"/>
          <w:spacing w:val="-4"/>
          <w:lang w:val="vi-VN"/>
        </w:rPr>
        <w:t xml:space="preserve"> đã được tổ chức soạn thảo, lấy ý kiến tham gia</w:t>
      </w:r>
      <w:r w:rsidRPr="009A2322">
        <w:rPr>
          <w:bCs/>
          <w:color w:val="000000" w:themeColor="text1"/>
          <w:spacing w:val="-4"/>
          <w:lang w:val="nb-NO"/>
        </w:rPr>
        <w:t xml:space="preserve"> của các cơ quan, đơn vị có liên quan</w:t>
      </w:r>
      <w:r w:rsidRPr="009A2322">
        <w:rPr>
          <w:bCs/>
          <w:color w:val="000000" w:themeColor="text1"/>
          <w:spacing w:val="-4"/>
          <w:lang w:val="vi-VN"/>
        </w:rPr>
        <w:t xml:space="preserve">; </w:t>
      </w:r>
      <w:r w:rsidRPr="009A2322">
        <w:rPr>
          <w:bCs/>
          <w:color w:val="000000" w:themeColor="text1"/>
          <w:spacing w:val="-4"/>
          <w:lang w:val="nb-NO"/>
        </w:rPr>
        <w:t>việc ban hành dự thảo</w:t>
      </w:r>
      <w:r w:rsidRPr="009A2322">
        <w:rPr>
          <w:bCs/>
          <w:color w:val="000000" w:themeColor="text1"/>
          <w:spacing w:val="-4"/>
          <w:lang w:val="vi-VN"/>
        </w:rPr>
        <w:t xml:space="preserve"> </w:t>
      </w:r>
      <w:r w:rsidRPr="009A2322">
        <w:rPr>
          <w:bCs/>
          <w:color w:val="000000" w:themeColor="text1"/>
          <w:spacing w:val="-4"/>
          <w:lang w:val="nb-NO"/>
        </w:rPr>
        <w:t>Quyết định</w:t>
      </w:r>
      <w:r w:rsidRPr="009A2322">
        <w:rPr>
          <w:bCs/>
          <w:color w:val="000000" w:themeColor="text1"/>
          <w:spacing w:val="-4"/>
          <w:lang w:val="vi-VN"/>
        </w:rPr>
        <w:t xml:space="preserve"> đảm bảo đúng thẩm quyền ban hành của </w:t>
      </w:r>
      <w:r w:rsidRPr="009A2322">
        <w:rPr>
          <w:bCs/>
          <w:color w:val="000000" w:themeColor="text1"/>
          <w:spacing w:val="-4"/>
          <w:lang w:val="nb-NO"/>
        </w:rPr>
        <w:t>Ủy ban nhân dân</w:t>
      </w:r>
      <w:r w:rsidRPr="009A2322">
        <w:rPr>
          <w:bCs/>
          <w:color w:val="000000" w:themeColor="text1"/>
          <w:spacing w:val="-4"/>
          <w:lang w:val="vi-VN"/>
        </w:rPr>
        <w:t xml:space="preserve"> tỉnh và có nội dung phù hợp với quy định của pháp luật hiện hành, đủ điều kiện trình </w:t>
      </w:r>
      <w:r w:rsidRPr="002F495D">
        <w:rPr>
          <w:bCs/>
          <w:color w:val="000000" w:themeColor="text1"/>
          <w:spacing w:val="-4"/>
          <w:lang w:val="vi-VN"/>
        </w:rPr>
        <w:t>Ủy ban nhân dân</w:t>
      </w:r>
      <w:r w:rsidRPr="009A2322">
        <w:rPr>
          <w:bCs/>
          <w:color w:val="000000" w:themeColor="text1"/>
          <w:spacing w:val="-4"/>
          <w:lang w:val="vi-VN"/>
        </w:rPr>
        <w:t xml:space="preserve"> tỉnh xem xét, ban hành. </w:t>
      </w:r>
      <w:r w:rsidR="00156772" w:rsidRPr="009A2322">
        <w:rPr>
          <w:color w:val="000000" w:themeColor="text1"/>
          <w:lang w:val="vi-VN"/>
        </w:rPr>
        <w:t xml:space="preserve">Sở </w:t>
      </w:r>
      <w:r w:rsidR="00CC6F5E">
        <w:rPr>
          <w:color w:val="000000" w:themeColor="text1"/>
        </w:rPr>
        <w:t>Tài chính</w:t>
      </w:r>
      <w:r w:rsidR="00156772" w:rsidRPr="009A2322">
        <w:rPr>
          <w:color w:val="000000" w:themeColor="text1"/>
          <w:lang w:val="vi-VN"/>
        </w:rPr>
        <w:t xml:space="preserve"> kính trình Ủy ban nhân dân tỉnh xem xét </w:t>
      </w:r>
      <w:r w:rsidR="00CC6F5E">
        <w:rPr>
          <w:color w:val="000000" w:themeColor="text1"/>
        </w:rPr>
        <w:t>quyết định./</w:t>
      </w:r>
      <w:r w:rsidR="00156772" w:rsidRPr="009A2322">
        <w:rPr>
          <w:color w:val="000000" w:themeColor="text1"/>
          <w:lang w:val="vi-VN"/>
        </w:rPr>
        <w:t>.</w:t>
      </w:r>
    </w:p>
    <w:p w14:paraId="15AE4AEC" w14:textId="1DC1B9DA" w:rsidR="000555A2" w:rsidRPr="00052886" w:rsidRDefault="0021105A" w:rsidP="00645032">
      <w:pPr>
        <w:pBdr>
          <w:top w:val="none" w:sz="0" w:space="0" w:color="auto"/>
          <w:left w:val="none" w:sz="0" w:space="0" w:color="auto"/>
          <w:bottom w:val="none" w:sz="4" w:space="16" w:color="000000"/>
          <w:right w:val="none" w:sz="0" w:space="0" w:color="auto"/>
          <w:between w:val="none" w:sz="0" w:space="0" w:color="auto"/>
        </w:pBdr>
        <w:spacing w:before="60" w:line="340" w:lineRule="exact"/>
        <w:ind w:firstLine="567"/>
        <w:jc w:val="both"/>
        <w:rPr>
          <w:b/>
          <w:bCs/>
          <w:spacing w:val="-4"/>
          <w:lang w:val="pl-PL"/>
        </w:rPr>
      </w:pPr>
      <w:r w:rsidRPr="00D679D1">
        <w:rPr>
          <w:i/>
          <w:color w:val="000000" w:themeColor="text1"/>
          <w:spacing w:val="-4"/>
          <w:lang w:val="nl-NL"/>
        </w:rPr>
        <w:t>(Xin gửi kèm:</w:t>
      </w:r>
      <w:r w:rsidRPr="00D679D1">
        <w:rPr>
          <w:i/>
          <w:iCs/>
          <w:color w:val="000000" w:themeColor="text1"/>
          <w:spacing w:val="-4"/>
          <w:lang w:val="pl-PL"/>
        </w:rPr>
        <w:t xml:space="preserve"> </w:t>
      </w:r>
      <w:r w:rsidR="000555A2" w:rsidRPr="00D679D1">
        <w:rPr>
          <w:i/>
          <w:iCs/>
          <w:color w:val="000000" w:themeColor="text1"/>
          <w:spacing w:val="-4"/>
          <w:lang w:val="pl-PL"/>
        </w:rPr>
        <w:t xml:space="preserve">(1) </w:t>
      </w:r>
      <w:r w:rsidR="000555A2" w:rsidRPr="00D679D1">
        <w:rPr>
          <w:i/>
          <w:color w:val="000000" w:themeColor="text1"/>
          <w:spacing w:val="-4"/>
          <w:lang w:val="nl-NL"/>
        </w:rPr>
        <w:t xml:space="preserve">Dự thảo </w:t>
      </w:r>
      <w:r w:rsidR="001C7CB0" w:rsidRPr="00D679D1">
        <w:rPr>
          <w:i/>
          <w:color w:val="000000" w:themeColor="text1"/>
          <w:spacing w:val="-4"/>
          <w:lang w:val="pl-PL"/>
        </w:rPr>
        <w:t>Quyết định của Ủy ban nhân dân tỉnh</w:t>
      </w:r>
      <w:r w:rsidR="00990A65" w:rsidRPr="00D679D1">
        <w:rPr>
          <w:i/>
          <w:color w:val="000000" w:themeColor="text1"/>
          <w:spacing w:val="-4"/>
          <w:lang w:val="pl-PL"/>
        </w:rPr>
        <w:t xml:space="preserve"> Bãi bỏ</w:t>
      </w:r>
      <w:r w:rsidR="001C7CB0" w:rsidRPr="00D679D1">
        <w:rPr>
          <w:i/>
          <w:color w:val="000000" w:themeColor="text1"/>
          <w:spacing w:val="-4"/>
          <w:lang w:val="pl-PL"/>
        </w:rPr>
        <w:t xml:space="preserve"> </w:t>
      </w:r>
      <w:r w:rsidR="00D40223" w:rsidRPr="00D40223">
        <w:rPr>
          <w:i/>
          <w:color w:val="000000"/>
          <w:spacing w:val="4"/>
        </w:rPr>
        <w:t>Quyết định số 34/2018/QĐ-UBND ngày 09/11/2018 của UBND tỉnh Hà Giang</w:t>
      </w:r>
      <w:r w:rsidR="00D40223" w:rsidRPr="00D40223">
        <w:rPr>
          <w:i/>
        </w:rPr>
        <w:t xml:space="preserve"> Quy định giá thóc thu thuế sử dụng đất nông nghiệp trên địa bàn tỉnh Hà Giang</w:t>
      </w:r>
      <w:r w:rsidRPr="00D679D1">
        <w:rPr>
          <w:i/>
          <w:color w:val="000000" w:themeColor="text1"/>
          <w:spacing w:val="-4"/>
          <w:lang w:val="pl-PL"/>
        </w:rPr>
        <w:t>;</w:t>
      </w:r>
      <w:r w:rsidRPr="00D679D1">
        <w:rPr>
          <w:b/>
          <w:bCs/>
          <w:color w:val="000000" w:themeColor="text1"/>
          <w:spacing w:val="-4"/>
          <w:lang w:val="pl-PL"/>
        </w:rPr>
        <w:t xml:space="preserve"> </w:t>
      </w:r>
      <w:r w:rsidR="000555A2" w:rsidRPr="00D679D1">
        <w:rPr>
          <w:i/>
          <w:color w:val="000000" w:themeColor="text1"/>
          <w:spacing w:val="-4"/>
          <w:lang w:val="pl-PL"/>
        </w:rPr>
        <w:t xml:space="preserve">(2) </w:t>
      </w:r>
      <w:r w:rsidR="005A7773" w:rsidRPr="00D679D1">
        <w:rPr>
          <w:i/>
          <w:color w:val="000000" w:themeColor="text1"/>
          <w:spacing w:val="-4"/>
          <w:lang w:val="pl-PL"/>
        </w:rPr>
        <w:t xml:space="preserve">Biểu thuyết minh lý do </w:t>
      </w:r>
      <w:r w:rsidR="0074541D" w:rsidRPr="00D679D1">
        <w:rPr>
          <w:i/>
          <w:color w:val="000000" w:themeColor="text1"/>
          <w:spacing w:val="-4"/>
          <w:lang w:val="pl-PL"/>
        </w:rPr>
        <w:t xml:space="preserve">đề nghị </w:t>
      </w:r>
      <w:r w:rsidR="005A7773" w:rsidRPr="00D679D1">
        <w:rPr>
          <w:i/>
          <w:color w:val="000000" w:themeColor="text1"/>
          <w:spacing w:val="-4"/>
          <w:lang w:val="pl-PL"/>
        </w:rPr>
        <w:t xml:space="preserve">bãi bỏ </w:t>
      </w:r>
      <w:r w:rsidR="00990A65" w:rsidRPr="00D679D1">
        <w:rPr>
          <w:i/>
          <w:color w:val="000000" w:themeColor="text1"/>
          <w:spacing w:val="-4"/>
          <w:lang w:val="pl-PL"/>
        </w:rPr>
        <w:t>Quyết định</w:t>
      </w:r>
      <w:r w:rsidRPr="00D679D1">
        <w:rPr>
          <w:i/>
          <w:color w:val="000000" w:themeColor="text1"/>
          <w:spacing w:val="-4"/>
          <w:lang w:val="pl-PL"/>
        </w:rPr>
        <w:t xml:space="preserve">; </w:t>
      </w:r>
      <w:r w:rsidR="005A7773" w:rsidRPr="00052886">
        <w:rPr>
          <w:i/>
          <w:spacing w:val="-4"/>
          <w:lang w:val="pl-PL"/>
        </w:rPr>
        <w:t xml:space="preserve">(3) </w:t>
      </w:r>
      <w:r w:rsidRPr="00052886">
        <w:rPr>
          <w:i/>
          <w:spacing w:val="-4"/>
          <w:lang w:val="nb-NO"/>
        </w:rPr>
        <w:t>Bản tổng hợp</w:t>
      </w:r>
      <w:r w:rsidR="005A7773" w:rsidRPr="00052886">
        <w:rPr>
          <w:i/>
          <w:spacing w:val="-4"/>
          <w:lang w:val="nb-NO"/>
        </w:rPr>
        <w:t xml:space="preserve">, tiếp thu ý kiến góp ý </w:t>
      </w:r>
      <w:r w:rsidR="009A2322" w:rsidRPr="00052886">
        <w:rPr>
          <w:i/>
          <w:spacing w:val="-4"/>
          <w:lang w:val="nb-NO"/>
        </w:rPr>
        <w:t xml:space="preserve">đối với </w:t>
      </w:r>
      <w:r w:rsidR="005A7773" w:rsidRPr="00052886">
        <w:rPr>
          <w:i/>
          <w:spacing w:val="-4"/>
          <w:lang w:val="nb-NO"/>
        </w:rPr>
        <w:t>dự thảo Quyết định</w:t>
      </w:r>
      <w:r w:rsidR="000555A2" w:rsidRPr="00052886">
        <w:rPr>
          <w:i/>
          <w:spacing w:val="-4"/>
          <w:lang w:val="pl-PL"/>
        </w:rPr>
        <w:t>.</w:t>
      </w:r>
      <w:r w:rsidR="00C641B2" w:rsidRPr="00052886">
        <w:rPr>
          <w:spacing w:val="-4"/>
          <w:lang w:val="pl-PL"/>
        </w:rPr>
        <w:t>/.</w:t>
      </w:r>
    </w:p>
    <w:tbl>
      <w:tblPr>
        <w:tblW w:w="9288" w:type="dxa"/>
        <w:tblLayout w:type="fixed"/>
        <w:tblLook w:val="0000" w:firstRow="0" w:lastRow="0" w:firstColumn="0" w:lastColumn="0" w:noHBand="0" w:noVBand="0"/>
      </w:tblPr>
      <w:tblGrid>
        <w:gridCol w:w="4644"/>
        <w:gridCol w:w="4644"/>
      </w:tblGrid>
      <w:tr w:rsidR="00D679D1" w:rsidRPr="00343F63" w14:paraId="12F88026" w14:textId="77777777" w:rsidTr="005E327B">
        <w:tc>
          <w:tcPr>
            <w:tcW w:w="4644" w:type="dxa"/>
          </w:tcPr>
          <w:p w14:paraId="63A9F34A" w14:textId="77777777" w:rsidR="00D679D1" w:rsidRPr="00343F63" w:rsidRDefault="00D679D1" w:rsidP="005E327B">
            <w:pPr>
              <w:rPr>
                <w:b/>
                <w:bCs/>
                <w:i/>
                <w:iCs/>
                <w:sz w:val="24"/>
                <w:szCs w:val="24"/>
              </w:rPr>
            </w:pPr>
            <w:r w:rsidRPr="00343F63">
              <w:rPr>
                <w:b/>
                <w:bCs/>
                <w:i/>
                <w:iCs/>
                <w:sz w:val="24"/>
                <w:szCs w:val="24"/>
              </w:rPr>
              <w:t>Nơi nhận:</w:t>
            </w:r>
          </w:p>
          <w:p w14:paraId="09E75625" w14:textId="77777777" w:rsidR="00D679D1" w:rsidRPr="00F3749B" w:rsidRDefault="00D679D1" w:rsidP="005E327B">
            <w:pPr>
              <w:rPr>
                <w:sz w:val="22"/>
                <w:szCs w:val="22"/>
              </w:rPr>
            </w:pPr>
            <w:r w:rsidRPr="00F3749B">
              <w:rPr>
                <w:sz w:val="22"/>
                <w:szCs w:val="22"/>
              </w:rPr>
              <w:t>- Như trên;</w:t>
            </w:r>
          </w:p>
          <w:p w14:paraId="0AE09160" w14:textId="0CA48DF5" w:rsidR="00D679D1" w:rsidRPr="00F3749B" w:rsidRDefault="00D679D1" w:rsidP="005E327B">
            <w:pPr>
              <w:rPr>
                <w:sz w:val="22"/>
                <w:szCs w:val="22"/>
              </w:rPr>
            </w:pPr>
            <w:r w:rsidRPr="00F3749B">
              <w:rPr>
                <w:sz w:val="22"/>
                <w:szCs w:val="22"/>
              </w:rPr>
              <w:t xml:space="preserve">- </w:t>
            </w:r>
            <w:r w:rsidR="00052886">
              <w:rPr>
                <w:sz w:val="22"/>
                <w:szCs w:val="22"/>
              </w:rPr>
              <w:t>Lãnh đạo</w:t>
            </w:r>
            <w:r w:rsidRPr="00F3749B">
              <w:rPr>
                <w:sz w:val="22"/>
                <w:szCs w:val="22"/>
              </w:rPr>
              <w:t xml:space="preserve"> Sở Tài chính;</w:t>
            </w:r>
          </w:p>
          <w:p w14:paraId="6435D1BC" w14:textId="77777777" w:rsidR="00D679D1" w:rsidRPr="00F3749B" w:rsidRDefault="00D679D1" w:rsidP="005E327B">
            <w:pPr>
              <w:rPr>
                <w:sz w:val="22"/>
                <w:szCs w:val="22"/>
              </w:rPr>
            </w:pPr>
            <w:r w:rsidRPr="00F3749B">
              <w:rPr>
                <w:sz w:val="22"/>
                <w:szCs w:val="22"/>
              </w:rPr>
              <w:t>- Sở Tư pháp;</w:t>
            </w:r>
          </w:p>
          <w:p w14:paraId="7FBC0C88" w14:textId="5BEB0BC6" w:rsidR="00D679D1" w:rsidRPr="00343F63" w:rsidRDefault="00D679D1" w:rsidP="005E327B">
            <w:r w:rsidRPr="00F3749B">
              <w:rPr>
                <w:sz w:val="22"/>
                <w:szCs w:val="22"/>
              </w:rPr>
              <w:t xml:space="preserve">- Lưu: VT, </w:t>
            </w:r>
            <w:r>
              <w:rPr>
                <w:sz w:val="22"/>
                <w:szCs w:val="22"/>
              </w:rPr>
              <w:t>GCS</w:t>
            </w:r>
            <w:r w:rsidRPr="00F3749B">
              <w:rPr>
                <w:sz w:val="22"/>
                <w:szCs w:val="22"/>
              </w:rPr>
              <w:t>.</w:t>
            </w:r>
          </w:p>
        </w:tc>
        <w:tc>
          <w:tcPr>
            <w:tcW w:w="4644" w:type="dxa"/>
          </w:tcPr>
          <w:p w14:paraId="6C39CB8B" w14:textId="77777777" w:rsidR="00D679D1" w:rsidRPr="00DE5668" w:rsidRDefault="00D679D1" w:rsidP="005E327B">
            <w:pPr>
              <w:jc w:val="center"/>
              <w:rPr>
                <w:b/>
                <w:bCs/>
              </w:rPr>
            </w:pPr>
            <w:r w:rsidRPr="00DE5668">
              <w:rPr>
                <w:b/>
                <w:bCs/>
              </w:rPr>
              <w:t>KT. GIÁM ĐỐC</w:t>
            </w:r>
          </w:p>
          <w:p w14:paraId="0042835E" w14:textId="77777777" w:rsidR="00D679D1" w:rsidRPr="00343F63" w:rsidRDefault="00D679D1" w:rsidP="005E327B">
            <w:pPr>
              <w:jc w:val="center"/>
              <w:rPr>
                <w:b/>
                <w:bCs/>
              </w:rPr>
            </w:pPr>
            <w:r>
              <w:rPr>
                <w:b/>
                <w:bCs/>
              </w:rPr>
              <w:t>PHÓ GIÁM ĐỐC</w:t>
            </w:r>
          </w:p>
          <w:p w14:paraId="12B667F8" w14:textId="77777777" w:rsidR="00D679D1" w:rsidRPr="00343F63" w:rsidRDefault="00D679D1" w:rsidP="005E327B">
            <w:pPr>
              <w:jc w:val="center"/>
              <w:rPr>
                <w:b/>
                <w:bCs/>
              </w:rPr>
            </w:pPr>
          </w:p>
          <w:p w14:paraId="7ABF5F1F" w14:textId="77777777" w:rsidR="00D679D1" w:rsidRDefault="00D679D1" w:rsidP="005E327B">
            <w:pPr>
              <w:jc w:val="center"/>
              <w:rPr>
                <w:b/>
                <w:bCs/>
              </w:rPr>
            </w:pPr>
          </w:p>
          <w:p w14:paraId="1AB12227" w14:textId="77777777" w:rsidR="00D679D1" w:rsidRPr="00343F63" w:rsidRDefault="00D679D1" w:rsidP="005E327B">
            <w:pPr>
              <w:jc w:val="center"/>
              <w:rPr>
                <w:b/>
                <w:bCs/>
              </w:rPr>
            </w:pPr>
          </w:p>
          <w:p w14:paraId="187801D2" w14:textId="77777777" w:rsidR="00D679D1" w:rsidRPr="00343F63" w:rsidRDefault="00D679D1" w:rsidP="005E327B">
            <w:pPr>
              <w:jc w:val="center"/>
              <w:rPr>
                <w:b/>
                <w:bCs/>
              </w:rPr>
            </w:pPr>
          </w:p>
          <w:p w14:paraId="4EEA8BFC" w14:textId="77777777" w:rsidR="00D679D1" w:rsidRPr="00343F63" w:rsidRDefault="00D679D1" w:rsidP="005E327B">
            <w:pPr>
              <w:jc w:val="center"/>
              <w:rPr>
                <w:b/>
                <w:bCs/>
              </w:rPr>
            </w:pPr>
          </w:p>
          <w:p w14:paraId="57026C10" w14:textId="2141FABC" w:rsidR="00D679D1" w:rsidRPr="00343F63" w:rsidRDefault="00D679D1" w:rsidP="00645032">
            <w:pPr>
              <w:keepNext/>
              <w:jc w:val="center"/>
              <w:outlineLvl w:val="2"/>
              <w:rPr>
                <w:b/>
                <w:bCs/>
              </w:rPr>
            </w:pPr>
            <w:r>
              <w:rPr>
                <w:b/>
                <w:bCs/>
              </w:rPr>
              <w:t>Trương Quốc Khánh</w:t>
            </w:r>
          </w:p>
        </w:tc>
      </w:tr>
    </w:tbl>
    <w:p w14:paraId="2EC1453E" w14:textId="0A0F9A31" w:rsidR="00B94D86" w:rsidRPr="009A2322" w:rsidRDefault="00B94D86" w:rsidP="001E0107">
      <w:pPr>
        <w:rPr>
          <w:color w:val="000000" w:themeColor="text1"/>
          <w:lang w:val="pl-PL"/>
        </w:rPr>
      </w:pPr>
    </w:p>
    <w:sectPr w:rsidR="00B94D86" w:rsidRPr="009A2322" w:rsidSect="00B63AF8">
      <w:headerReference w:type="default" r:id="rId8"/>
      <w:pgSz w:w="11907" w:h="16840" w:code="9"/>
      <w:pgMar w:top="1134" w:right="851"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1021" w14:textId="77777777" w:rsidR="00BD58AE" w:rsidRDefault="00BD58AE">
      <w:r>
        <w:separator/>
      </w:r>
    </w:p>
  </w:endnote>
  <w:endnote w:type="continuationSeparator" w:id="0">
    <w:p w14:paraId="30AE2804" w14:textId="77777777" w:rsidR="00BD58AE" w:rsidRDefault="00BD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E760" w14:textId="77777777" w:rsidR="00BD58AE" w:rsidRDefault="00BD58AE">
      <w:r>
        <w:separator/>
      </w:r>
    </w:p>
  </w:footnote>
  <w:footnote w:type="continuationSeparator" w:id="0">
    <w:p w14:paraId="484E1C89" w14:textId="77777777" w:rsidR="00BD58AE" w:rsidRDefault="00BD5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4972033"/>
      <w:docPartObj>
        <w:docPartGallery w:val="Page Numbers (Top of Page)"/>
        <w:docPartUnique/>
      </w:docPartObj>
    </w:sdtPr>
    <w:sdtEndPr/>
    <w:sdtContent>
      <w:p w14:paraId="2387C514" w14:textId="44BAABCC" w:rsidR="00444777" w:rsidRPr="00B63AF8" w:rsidRDefault="000261A3">
        <w:pPr>
          <w:pStyle w:val="Header"/>
          <w:jc w:val="center"/>
          <w:rPr>
            <w:sz w:val="26"/>
            <w:szCs w:val="26"/>
          </w:rPr>
        </w:pPr>
        <w:r w:rsidRPr="00B63AF8">
          <w:rPr>
            <w:sz w:val="26"/>
            <w:szCs w:val="26"/>
          </w:rPr>
          <w:fldChar w:fldCharType="begin"/>
        </w:r>
        <w:r w:rsidRPr="00B63AF8">
          <w:rPr>
            <w:sz w:val="26"/>
            <w:szCs w:val="26"/>
          </w:rPr>
          <w:instrText xml:space="preserve"> PAGE   \* MERGEFORMAT </w:instrText>
        </w:r>
        <w:r w:rsidRPr="00B63AF8">
          <w:rPr>
            <w:sz w:val="26"/>
            <w:szCs w:val="26"/>
          </w:rPr>
          <w:fldChar w:fldCharType="separate"/>
        </w:r>
        <w:r w:rsidR="00730E2A">
          <w:rPr>
            <w:noProof/>
            <w:sz w:val="26"/>
            <w:szCs w:val="26"/>
          </w:rPr>
          <w:t>3</w:t>
        </w:r>
        <w:r w:rsidRPr="00B63AF8">
          <w:rPr>
            <w:noProof/>
            <w:sz w:val="26"/>
            <w:szCs w:val="26"/>
          </w:rPr>
          <w:fldChar w:fldCharType="end"/>
        </w:r>
      </w:p>
    </w:sdtContent>
  </w:sdt>
  <w:p w14:paraId="2AA05EA4" w14:textId="77777777" w:rsidR="00444777" w:rsidRPr="00B63AF8" w:rsidRDefault="00444777">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FB7"/>
    <w:multiLevelType w:val="hybridMultilevel"/>
    <w:tmpl w:val="F266D94E"/>
    <w:lvl w:ilvl="0" w:tplc="06C65A34">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FA"/>
    <w:rsid w:val="000010FE"/>
    <w:rsid w:val="00012ED0"/>
    <w:rsid w:val="000149A2"/>
    <w:rsid w:val="000253FB"/>
    <w:rsid w:val="000261A3"/>
    <w:rsid w:val="00035D06"/>
    <w:rsid w:val="000360C0"/>
    <w:rsid w:val="0003614F"/>
    <w:rsid w:val="00036B88"/>
    <w:rsid w:val="000418FB"/>
    <w:rsid w:val="0004320F"/>
    <w:rsid w:val="000465F7"/>
    <w:rsid w:val="000479B7"/>
    <w:rsid w:val="00052886"/>
    <w:rsid w:val="000555A2"/>
    <w:rsid w:val="000625E2"/>
    <w:rsid w:val="00063080"/>
    <w:rsid w:val="00066D36"/>
    <w:rsid w:val="000708C2"/>
    <w:rsid w:val="00073631"/>
    <w:rsid w:val="00081585"/>
    <w:rsid w:val="00085039"/>
    <w:rsid w:val="00092E17"/>
    <w:rsid w:val="000A06BA"/>
    <w:rsid w:val="000A532A"/>
    <w:rsid w:val="000A714B"/>
    <w:rsid w:val="000B0760"/>
    <w:rsid w:val="000B5915"/>
    <w:rsid w:val="000C0556"/>
    <w:rsid w:val="000C070C"/>
    <w:rsid w:val="001004CA"/>
    <w:rsid w:val="00111961"/>
    <w:rsid w:val="00120784"/>
    <w:rsid w:val="00121201"/>
    <w:rsid w:val="0012756F"/>
    <w:rsid w:val="00132AF6"/>
    <w:rsid w:val="0014138A"/>
    <w:rsid w:val="00141709"/>
    <w:rsid w:val="00143C85"/>
    <w:rsid w:val="00152701"/>
    <w:rsid w:val="00154EBF"/>
    <w:rsid w:val="00156772"/>
    <w:rsid w:val="001661E2"/>
    <w:rsid w:val="001676F9"/>
    <w:rsid w:val="00172674"/>
    <w:rsid w:val="001773AF"/>
    <w:rsid w:val="00180253"/>
    <w:rsid w:val="00180E35"/>
    <w:rsid w:val="001864F2"/>
    <w:rsid w:val="001B1417"/>
    <w:rsid w:val="001C1E6E"/>
    <w:rsid w:val="001C67CB"/>
    <w:rsid w:val="001C7CB0"/>
    <w:rsid w:val="001D0193"/>
    <w:rsid w:val="001D26A1"/>
    <w:rsid w:val="001E0107"/>
    <w:rsid w:val="001E158C"/>
    <w:rsid w:val="001E18A4"/>
    <w:rsid w:val="001F3EAE"/>
    <w:rsid w:val="0020356E"/>
    <w:rsid w:val="00203C5E"/>
    <w:rsid w:val="00205223"/>
    <w:rsid w:val="0020559F"/>
    <w:rsid w:val="0021105A"/>
    <w:rsid w:val="00214265"/>
    <w:rsid w:val="00217F8B"/>
    <w:rsid w:val="002202E7"/>
    <w:rsid w:val="00220E59"/>
    <w:rsid w:val="0022574B"/>
    <w:rsid w:val="00233953"/>
    <w:rsid w:val="00240551"/>
    <w:rsid w:val="00247BCC"/>
    <w:rsid w:val="00270356"/>
    <w:rsid w:val="00274FA1"/>
    <w:rsid w:val="002817F1"/>
    <w:rsid w:val="00294168"/>
    <w:rsid w:val="002B0688"/>
    <w:rsid w:val="002C0FD7"/>
    <w:rsid w:val="002C321B"/>
    <w:rsid w:val="002D3DED"/>
    <w:rsid w:val="002E5412"/>
    <w:rsid w:val="002F2746"/>
    <w:rsid w:val="002F32C0"/>
    <w:rsid w:val="002F495D"/>
    <w:rsid w:val="002F4D46"/>
    <w:rsid w:val="002F5980"/>
    <w:rsid w:val="00302FAB"/>
    <w:rsid w:val="00314432"/>
    <w:rsid w:val="0031534F"/>
    <w:rsid w:val="003239ED"/>
    <w:rsid w:val="00325135"/>
    <w:rsid w:val="003277D2"/>
    <w:rsid w:val="00353062"/>
    <w:rsid w:val="0035335F"/>
    <w:rsid w:val="00363E41"/>
    <w:rsid w:val="003813E0"/>
    <w:rsid w:val="00384819"/>
    <w:rsid w:val="00391207"/>
    <w:rsid w:val="003A4AAF"/>
    <w:rsid w:val="003A72AA"/>
    <w:rsid w:val="003B1041"/>
    <w:rsid w:val="003B66B5"/>
    <w:rsid w:val="003D56D7"/>
    <w:rsid w:val="003E0649"/>
    <w:rsid w:val="003F6C8A"/>
    <w:rsid w:val="00406607"/>
    <w:rsid w:val="00412412"/>
    <w:rsid w:val="004158EC"/>
    <w:rsid w:val="0042144F"/>
    <w:rsid w:val="00421A83"/>
    <w:rsid w:val="00431659"/>
    <w:rsid w:val="00431C2D"/>
    <w:rsid w:val="0043269E"/>
    <w:rsid w:val="00436626"/>
    <w:rsid w:val="00442C62"/>
    <w:rsid w:val="00444777"/>
    <w:rsid w:val="0044631C"/>
    <w:rsid w:val="00453176"/>
    <w:rsid w:val="00465786"/>
    <w:rsid w:val="004664C8"/>
    <w:rsid w:val="00477F23"/>
    <w:rsid w:val="004963F7"/>
    <w:rsid w:val="00497110"/>
    <w:rsid w:val="004A14BB"/>
    <w:rsid w:val="004A2784"/>
    <w:rsid w:val="004A4027"/>
    <w:rsid w:val="004A70F1"/>
    <w:rsid w:val="004A739D"/>
    <w:rsid w:val="004B236B"/>
    <w:rsid w:val="004B3A11"/>
    <w:rsid w:val="004D39E4"/>
    <w:rsid w:val="004E0179"/>
    <w:rsid w:val="004E2938"/>
    <w:rsid w:val="004E4E4E"/>
    <w:rsid w:val="004F1C4F"/>
    <w:rsid w:val="004F4EE5"/>
    <w:rsid w:val="004F7487"/>
    <w:rsid w:val="00500E74"/>
    <w:rsid w:val="00507B5A"/>
    <w:rsid w:val="00511759"/>
    <w:rsid w:val="005133CC"/>
    <w:rsid w:val="00516E2A"/>
    <w:rsid w:val="00530745"/>
    <w:rsid w:val="00535561"/>
    <w:rsid w:val="00542E99"/>
    <w:rsid w:val="0054427A"/>
    <w:rsid w:val="005525FA"/>
    <w:rsid w:val="0055423A"/>
    <w:rsid w:val="005550AF"/>
    <w:rsid w:val="00555A56"/>
    <w:rsid w:val="0055796B"/>
    <w:rsid w:val="00561771"/>
    <w:rsid w:val="00562342"/>
    <w:rsid w:val="0056235C"/>
    <w:rsid w:val="00566E14"/>
    <w:rsid w:val="005826F4"/>
    <w:rsid w:val="00583409"/>
    <w:rsid w:val="00585B5E"/>
    <w:rsid w:val="00586123"/>
    <w:rsid w:val="00590C86"/>
    <w:rsid w:val="00595B03"/>
    <w:rsid w:val="005A60A1"/>
    <w:rsid w:val="005A7773"/>
    <w:rsid w:val="005B078E"/>
    <w:rsid w:val="005B2D17"/>
    <w:rsid w:val="005B40D9"/>
    <w:rsid w:val="005C0107"/>
    <w:rsid w:val="005C5F9E"/>
    <w:rsid w:val="005D07AD"/>
    <w:rsid w:val="005D3721"/>
    <w:rsid w:val="005D6187"/>
    <w:rsid w:val="005D6727"/>
    <w:rsid w:val="005D6CFC"/>
    <w:rsid w:val="005E0678"/>
    <w:rsid w:val="005F3E50"/>
    <w:rsid w:val="00616558"/>
    <w:rsid w:val="006225B6"/>
    <w:rsid w:val="006244EC"/>
    <w:rsid w:val="006313E5"/>
    <w:rsid w:val="006331AA"/>
    <w:rsid w:val="00633A45"/>
    <w:rsid w:val="0064452A"/>
    <w:rsid w:val="00645032"/>
    <w:rsid w:val="006479F2"/>
    <w:rsid w:val="006557EC"/>
    <w:rsid w:val="00660220"/>
    <w:rsid w:val="006644A3"/>
    <w:rsid w:val="00666A1E"/>
    <w:rsid w:val="00672DEF"/>
    <w:rsid w:val="00673D6F"/>
    <w:rsid w:val="00673DCD"/>
    <w:rsid w:val="00676836"/>
    <w:rsid w:val="00680981"/>
    <w:rsid w:val="006819B7"/>
    <w:rsid w:val="00682647"/>
    <w:rsid w:val="00692823"/>
    <w:rsid w:val="0069309D"/>
    <w:rsid w:val="00693EB2"/>
    <w:rsid w:val="006A1703"/>
    <w:rsid w:val="006A1730"/>
    <w:rsid w:val="006A30CB"/>
    <w:rsid w:val="006A3D0C"/>
    <w:rsid w:val="006A7E38"/>
    <w:rsid w:val="006B5747"/>
    <w:rsid w:val="006C60EA"/>
    <w:rsid w:val="006C71BA"/>
    <w:rsid w:val="006C7DAA"/>
    <w:rsid w:val="006D7E6A"/>
    <w:rsid w:val="006F75A5"/>
    <w:rsid w:val="00705650"/>
    <w:rsid w:val="00717234"/>
    <w:rsid w:val="00717CC5"/>
    <w:rsid w:val="00727D15"/>
    <w:rsid w:val="00730E2A"/>
    <w:rsid w:val="00731978"/>
    <w:rsid w:val="00734BA8"/>
    <w:rsid w:val="00735751"/>
    <w:rsid w:val="00736164"/>
    <w:rsid w:val="00740944"/>
    <w:rsid w:val="0074541D"/>
    <w:rsid w:val="0075135C"/>
    <w:rsid w:val="00753E1E"/>
    <w:rsid w:val="007648A0"/>
    <w:rsid w:val="00767AAA"/>
    <w:rsid w:val="007729FE"/>
    <w:rsid w:val="00774D94"/>
    <w:rsid w:val="007916C9"/>
    <w:rsid w:val="00793F13"/>
    <w:rsid w:val="0079610B"/>
    <w:rsid w:val="00797A4F"/>
    <w:rsid w:val="007A04C0"/>
    <w:rsid w:val="007B1B63"/>
    <w:rsid w:val="007C1054"/>
    <w:rsid w:val="007C34F5"/>
    <w:rsid w:val="007E03FB"/>
    <w:rsid w:val="007E76F4"/>
    <w:rsid w:val="007F5135"/>
    <w:rsid w:val="008002F7"/>
    <w:rsid w:val="00802214"/>
    <w:rsid w:val="008210A5"/>
    <w:rsid w:val="00835A2A"/>
    <w:rsid w:val="00841390"/>
    <w:rsid w:val="00844A31"/>
    <w:rsid w:val="00862C50"/>
    <w:rsid w:val="00863A50"/>
    <w:rsid w:val="00863DE9"/>
    <w:rsid w:val="00871CE1"/>
    <w:rsid w:val="00874388"/>
    <w:rsid w:val="0089019D"/>
    <w:rsid w:val="008919C1"/>
    <w:rsid w:val="00891E86"/>
    <w:rsid w:val="00895EF9"/>
    <w:rsid w:val="008A04CA"/>
    <w:rsid w:val="008A673F"/>
    <w:rsid w:val="008B40E1"/>
    <w:rsid w:val="008B6D55"/>
    <w:rsid w:val="008C32D6"/>
    <w:rsid w:val="008D3370"/>
    <w:rsid w:val="008D5E5E"/>
    <w:rsid w:val="008E17D5"/>
    <w:rsid w:val="008E589C"/>
    <w:rsid w:val="009023C4"/>
    <w:rsid w:val="00903F90"/>
    <w:rsid w:val="00905505"/>
    <w:rsid w:val="00911DEC"/>
    <w:rsid w:val="009127A5"/>
    <w:rsid w:val="00912CEC"/>
    <w:rsid w:val="00916133"/>
    <w:rsid w:val="00917DFA"/>
    <w:rsid w:val="0092417A"/>
    <w:rsid w:val="00944773"/>
    <w:rsid w:val="00962392"/>
    <w:rsid w:val="00962F1A"/>
    <w:rsid w:val="009704D5"/>
    <w:rsid w:val="00970780"/>
    <w:rsid w:val="0097657A"/>
    <w:rsid w:val="009769C0"/>
    <w:rsid w:val="00982B2B"/>
    <w:rsid w:val="00984A80"/>
    <w:rsid w:val="00990A65"/>
    <w:rsid w:val="00992BB9"/>
    <w:rsid w:val="00995F02"/>
    <w:rsid w:val="00996FD4"/>
    <w:rsid w:val="00997207"/>
    <w:rsid w:val="009A2322"/>
    <w:rsid w:val="009A2C10"/>
    <w:rsid w:val="009C0AE6"/>
    <w:rsid w:val="009C3962"/>
    <w:rsid w:val="009C3EDE"/>
    <w:rsid w:val="009D21BD"/>
    <w:rsid w:val="009D3EA2"/>
    <w:rsid w:val="009F14CE"/>
    <w:rsid w:val="00A16549"/>
    <w:rsid w:val="00A26E2B"/>
    <w:rsid w:val="00A30298"/>
    <w:rsid w:val="00A32DE1"/>
    <w:rsid w:val="00A4040A"/>
    <w:rsid w:val="00A56091"/>
    <w:rsid w:val="00A565DA"/>
    <w:rsid w:val="00A56D27"/>
    <w:rsid w:val="00A6141B"/>
    <w:rsid w:val="00A62A07"/>
    <w:rsid w:val="00A75F46"/>
    <w:rsid w:val="00A764A0"/>
    <w:rsid w:val="00A81725"/>
    <w:rsid w:val="00A8223D"/>
    <w:rsid w:val="00A83527"/>
    <w:rsid w:val="00A944A0"/>
    <w:rsid w:val="00AA0DC0"/>
    <w:rsid w:val="00AA6925"/>
    <w:rsid w:val="00AB1EFD"/>
    <w:rsid w:val="00AB22E9"/>
    <w:rsid w:val="00AB2744"/>
    <w:rsid w:val="00AC2483"/>
    <w:rsid w:val="00AE5ED2"/>
    <w:rsid w:val="00AF16BC"/>
    <w:rsid w:val="00AF2956"/>
    <w:rsid w:val="00AF2C1E"/>
    <w:rsid w:val="00AF6D95"/>
    <w:rsid w:val="00B02633"/>
    <w:rsid w:val="00B14B9A"/>
    <w:rsid w:val="00B30F45"/>
    <w:rsid w:val="00B37388"/>
    <w:rsid w:val="00B54980"/>
    <w:rsid w:val="00B55E11"/>
    <w:rsid w:val="00B604A3"/>
    <w:rsid w:val="00B625F4"/>
    <w:rsid w:val="00B63AF8"/>
    <w:rsid w:val="00B701C7"/>
    <w:rsid w:val="00B8228F"/>
    <w:rsid w:val="00B93644"/>
    <w:rsid w:val="00B94D86"/>
    <w:rsid w:val="00B979A5"/>
    <w:rsid w:val="00BA30D5"/>
    <w:rsid w:val="00BA5831"/>
    <w:rsid w:val="00BD58AE"/>
    <w:rsid w:val="00BE1992"/>
    <w:rsid w:val="00BE4963"/>
    <w:rsid w:val="00BF6372"/>
    <w:rsid w:val="00C053D1"/>
    <w:rsid w:val="00C05B26"/>
    <w:rsid w:val="00C23F29"/>
    <w:rsid w:val="00C30235"/>
    <w:rsid w:val="00C35017"/>
    <w:rsid w:val="00C35D10"/>
    <w:rsid w:val="00C37B1B"/>
    <w:rsid w:val="00C45E78"/>
    <w:rsid w:val="00C54B8D"/>
    <w:rsid w:val="00C575AE"/>
    <w:rsid w:val="00C641B2"/>
    <w:rsid w:val="00C647B8"/>
    <w:rsid w:val="00C70DF4"/>
    <w:rsid w:val="00C73776"/>
    <w:rsid w:val="00C753EC"/>
    <w:rsid w:val="00C77886"/>
    <w:rsid w:val="00C85DEF"/>
    <w:rsid w:val="00C93F09"/>
    <w:rsid w:val="00CA1528"/>
    <w:rsid w:val="00CA6CE8"/>
    <w:rsid w:val="00CB2F2E"/>
    <w:rsid w:val="00CB744C"/>
    <w:rsid w:val="00CC4D5E"/>
    <w:rsid w:val="00CC6F5E"/>
    <w:rsid w:val="00CD0FC9"/>
    <w:rsid w:val="00CE4D1F"/>
    <w:rsid w:val="00CF5001"/>
    <w:rsid w:val="00CF7E18"/>
    <w:rsid w:val="00D07F71"/>
    <w:rsid w:val="00D10561"/>
    <w:rsid w:val="00D15A39"/>
    <w:rsid w:val="00D178D8"/>
    <w:rsid w:val="00D17EEC"/>
    <w:rsid w:val="00D230E8"/>
    <w:rsid w:val="00D24D5C"/>
    <w:rsid w:val="00D2672C"/>
    <w:rsid w:val="00D27071"/>
    <w:rsid w:val="00D335AF"/>
    <w:rsid w:val="00D363AD"/>
    <w:rsid w:val="00D40223"/>
    <w:rsid w:val="00D50029"/>
    <w:rsid w:val="00D5003F"/>
    <w:rsid w:val="00D5773C"/>
    <w:rsid w:val="00D57880"/>
    <w:rsid w:val="00D60879"/>
    <w:rsid w:val="00D60CB9"/>
    <w:rsid w:val="00D6663E"/>
    <w:rsid w:val="00D679D1"/>
    <w:rsid w:val="00D859A4"/>
    <w:rsid w:val="00D86AD5"/>
    <w:rsid w:val="00D934E7"/>
    <w:rsid w:val="00DA297F"/>
    <w:rsid w:val="00DB432F"/>
    <w:rsid w:val="00DC157A"/>
    <w:rsid w:val="00DC1962"/>
    <w:rsid w:val="00DD3253"/>
    <w:rsid w:val="00DD4A2B"/>
    <w:rsid w:val="00DD678B"/>
    <w:rsid w:val="00DE0D59"/>
    <w:rsid w:val="00DE6DBA"/>
    <w:rsid w:val="00DF409E"/>
    <w:rsid w:val="00DF5B49"/>
    <w:rsid w:val="00DF5B91"/>
    <w:rsid w:val="00E02A64"/>
    <w:rsid w:val="00E04446"/>
    <w:rsid w:val="00E211D0"/>
    <w:rsid w:val="00E32E33"/>
    <w:rsid w:val="00E33BC7"/>
    <w:rsid w:val="00E37640"/>
    <w:rsid w:val="00E43498"/>
    <w:rsid w:val="00E45599"/>
    <w:rsid w:val="00E45E63"/>
    <w:rsid w:val="00E46B25"/>
    <w:rsid w:val="00E62FF4"/>
    <w:rsid w:val="00E71305"/>
    <w:rsid w:val="00E77F71"/>
    <w:rsid w:val="00E83479"/>
    <w:rsid w:val="00EA2039"/>
    <w:rsid w:val="00EA3E06"/>
    <w:rsid w:val="00EA56DE"/>
    <w:rsid w:val="00EA576A"/>
    <w:rsid w:val="00EB261D"/>
    <w:rsid w:val="00EB6400"/>
    <w:rsid w:val="00EC4CA6"/>
    <w:rsid w:val="00EE4899"/>
    <w:rsid w:val="00EF45AA"/>
    <w:rsid w:val="00F00D82"/>
    <w:rsid w:val="00F03F03"/>
    <w:rsid w:val="00F1268C"/>
    <w:rsid w:val="00F135F0"/>
    <w:rsid w:val="00F32850"/>
    <w:rsid w:val="00F3434E"/>
    <w:rsid w:val="00F36A73"/>
    <w:rsid w:val="00F372B5"/>
    <w:rsid w:val="00F417F2"/>
    <w:rsid w:val="00F45736"/>
    <w:rsid w:val="00F518A6"/>
    <w:rsid w:val="00F523EA"/>
    <w:rsid w:val="00F52C07"/>
    <w:rsid w:val="00F62F13"/>
    <w:rsid w:val="00F71F5E"/>
    <w:rsid w:val="00F72F01"/>
    <w:rsid w:val="00F74AB9"/>
    <w:rsid w:val="00F91692"/>
    <w:rsid w:val="00F91BD9"/>
    <w:rsid w:val="00FA3102"/>
    <w:rsid w:val="00FA7C9B"/>
    <w:rsid w:val="00FB1C7A"/>
    <w:rsid w:val="00FB57C0"/>
    <w:rsid w:val="00FC2D2E"/>
    <w:rsid w:val="00FC5EBB"/>
    <w:rsid w:val="00FE0A3F"/>
    <w:rsid w:val="00FE0DDA"/>
    <w:rsid w:val="00FE74E5"/>
    <w:rsid w:val="00FF072C"/>
    <w:rsid w:val="00FF6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1448"/>
  <w15:docId w15:val="{B9C51E06-6823-474A-8EC7-B1C223CA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59"/>
    <w:pPr>
      <w:spacing w:before="0" w:line="240" w:lineRule="auto"/>
    </w:pPr>
    <w:rPr>
      <w:rFonts w:ascii="Times New Roman" w:eastAsia="Times New Roman" w:hAnsi="Times New Roman" w:cs="Times New Roman"/>
      <w:sz w:val="28"/>
      <w:szCs w:val="28"/>
    </w:rPr>
  </w:style>
  <w:style w:type="paragraph" w:styleId="Heading1">
    <w:name w:val="heading 1"/>
    <w:basedOn w:val="Normal"/>
    <w:next w:val="Normal"/>
    <w:qFormat/>
    <w:rsid w:val="00DE0D59"/>
    <w:pPr>
      <w:keepNext/>
      <w:jc w:val="center"/>
      <w:outlineLvl w:val="0"/>
    </w:pPr>
    <w:rPr>
      <w:b/>
      <w:bCs/>
    </w:rPr>
  </w:style>
  <w:style w:type="paragraph" w:styleId="Heading2">
    <w:name w:val="heading 2"/>
    <w:basedOn w:val="Normal"/>
    <w:next w:val="Normal"/>
    <w:uiPriority w:val="9"/>
    <w:unhideWhenUsed/>
    <w:qFormat/>
    <w:rsid w:val="00DE0D59"/>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DE0D59"/>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DE0D59"/>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DE0D59"/>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rsid w:val="00DE0D59"/>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rsid w:val="00DE0D59"/>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DE0D59"/>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DE0D59"/>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D59"/>
    <w:pPr>
      <w:ind w:left="720"/>
      <w:contextualSpacing/>
    </w:pPr>
  </w:style>
  <w:style w:type="paragraph" w:styleId="NoSpacing">
    <w:name w:val="No Spacing"/>
    <w:basedOn w:val="Normal"/>
    <w:uiPriority w:val="1"/>
    <w:qFormat/>
    <w:rsid w:val="00DE0D59"/>
    <w:rPr>
      <w:color w:val="000000"/>
    </w:rPr>
  </w:style>
  <w:style w:type="paragraph" w:styleId="Title">
    <w:name w:val="Title"/>
    <w:basedOn w:val="Normal"/>
    <w:next w:val="Normal"/>
    <w:uiPriority w:val="10"/>
    <w:qFormat/>
    <w:rsid w:val="00DE0D59"/>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DE0D59"/>
    <w:rPr>
      <w:i/>
      <w:color w:val="444444"/>
      <w:sz w:val="52"/>
    </w:rPr>
  </w:style>
  <w:style w:type="paragraph" w:styleId="Quote">
    <w:name w:val="Quote"/>
    <w:basedOn w:val="Normal"/>
    <w:next w:val="Normal"/>
    <w:uiPriority w:val="29"/>
    <w:qFormat/>
    <w:rsid w:val="00DE0D5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DE0D59"/>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rsid w:val="00DE0D59"/>
    <w:pPr>
      <w:tabs>
        <w:tab w:val="center" w:pos="7143"/>
        <w:tab w:val="right" w:pos="14287"/>
      </w:tabs>
    </w:pPr>
    <w:rPr>
      <w:color w:val="000000"/>
      <w:sz w:val="22"/>
    </w:rPr>
  </w:style>
  <w:style w:type="paragraph" w:styleId="Footer">
    <w:name w:val="footer"/>
    <w:basedOn w:val="Normal"/>
    <w:uiPriority w:val="99"/>
    <w:unhideWhenUsed/>
    <w:rsid w:val="00DE0D59"/>
    <w:pPr>
      <w:tabs>
        <w:tab w:val="center" w:pos="7143"/>
        <w:tab w:val="right" w:pos="14287"/>
      </w:tabs>
    </w:pPr>
    <w:rPr>
      <w:color w:val="000000"/>
      <w:sz w:val="22"/>
    </w:rPr>
  </w:style>
  <w:style w:type="table" w:customStyle="1" w:styleId="Lined">
    <w:name w:val="Lined"/>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DE0D5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DE0D5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DE0D5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DE0D5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DE0D5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DE0D5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DE0D5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DE0D59"/>
    <w:pPr>
      <w:spacing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DE0D59"/>
    <w:pPr>
      <w:spacing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DE0D59"/>
    <w:pPr>
      <w:spacing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DE0D59"/>
    <w:pPr>
      <w:spacing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DE0D59"/>
    <w:pPr>
      <w:spacing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DE0D59"/>
    <w:pPr>
      <w:spacing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DE0D59"/>
    <w:pPr>
      <w:spacing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sid w:val="00DE0D59"/>
    <w:rPr>
      <w:color w:val="0000FF" w:themeColor="hyperlink"/>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unhideWhenUsed/>
    <w:qFormat/>
    <w:rsid w:val="00DE0D59"/>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rsid w:val="00DE0D59"/>
    <w:rPr>
      <w:sz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de nota al p,SUPERS,R"/>
    <w:basedOn w:val="DefaultParagraphFont"/>
    <w:link w:val="RefChar"/>
    <w:uiPriority w:val="99"/>
    <w:unhideWhenUsed/>
    <w:qFormat/>
    <w:rsid w:val="00DE0D59"/>
    <w:rPr>
      <w:vertAlign w:val="superscript"/>
    </w:rPr>
  </w:style>
  <w:style w:type="character" w:customStyle="1" w:styleId="Heading1Char">
    <w:name w:val="Heading 1 Char"/>
    <w:basedOn w:val="DefaultParagraphFont"/>
    <w:rsid w:val="00DE0D59"/>
    <w:rPr>
      <w:rFonts w:ascii="Times New Roman" w:eastAsia="Times New Roman" w:hAnsi="Times New Roman" w:cs="Times New Roman"/>
      <w:b/>
      <w:bCs/>
      <w:sz w:val="28"/>
      <w:szCs w:val="28"/>
    </w:rPr>
  </w:style>
  <w:style w:type="table" w:styleId="TableGrid">
    <w:name w:val="Table Grid"/>
    <w:basedOn w:val="TableNormal"/>
    <w:rsid w:val="00DE0D59"/>
    <w:pPr>
      <w:spacing w:before="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rsid w:val="00DE0D59"/>
    <w:pPr>
      <w:jc w:val="both"/>
    </w:pPr>
    <w:rPr>
      <w:rFonts w:ascii=".VnTime" w:hAnsi=".VnTime"/>
      <w:szCs w:val="20"/>
    </w:rPr>
  </w:style>
  <w:style w:type="character" w:customStyle="1" w:styleId="BodyTextChar">
    <w:name w:val="Body Text Char"/>
    <w:basedOn w:val="DefaultParagraphFont"/>
    <w:rsid w:val="00DE0D59"/>
    <w:rPr>
      <w:rFonts w:ascii=".VnTime" w:eastAsia="Times New Roman" w:hAnsi=".VnTime" w:cs="Times New Roman"/>
      <w:sz w:val="28"/>
      <w:szCs w:val="20"/>
    </w:rPr>
  </w:style>
  <w:style w:type="paragraph" w:customStyle="1" w:styleId="CharCharCharCharCharCharCharChar">
    <w:name w:val="Char Char Char Char Char Char Char Char"/>
    <w:basedOn w:val="Normal"/>
    <w:next w:val="Normal"/>
    <w:semiHidden/>
    <w:rsid w:val="00DE0D59"/>
    <w:pPr>
      <w:spacing w:before="120" w:after="120" w:line="312" w:lineRule="auto"/>
    </w:pPr>
  </w:style>
  <w:style w:type="paragraph" w:styleId="NormalWeb">
    <w:name w:val="Normal (Web)"/>
    <w:basedOn w:val="Normal"/>
    <w:rsid w:val="00DE0D59"/>
    <w:pPr>
      <w:spacing w:before="100" w:beforeAutospacing="1" w:after="100" w:afterAutospacing="1"/>
    </w:pPr>
    <w:rPr>
      <w:sz w:val="24"/>
      <w:szCs w:val="24"/>
    </w:rPr>
  </w:style>
  <w:style w:type="character" w:styleId="Strong">
    <w:name w:val="Strong"/>
    <w:basedOn w:val="DefaultParagraphFont"/>
    <w:uiPriority w:val="22"/>
    <w:qFormat/>
    <w:rsid w:val="006A3D0C"/>
    <w:rPr>
      <w:b/>
      <w:bCs/>
    </w:rPr>
  </w:style>
  <w:style w:type="character" w:customStyle="1" w:styleId="fontstyle01">
    <w:name w:val="fontstyle01"/>
    <w:basedOn w:val="DefaultParagraphFont"/>
    <w:rsid w:val="009704D5"/>
    <w:rPr>
      <w:rFonts w:ascii="Times New Roman" w:hAnsi="Times New Roman" w:cs="Times New Roman" w:hint="default"/>
      <w:b w:val="0"/>
      <w:bCs w:val="0"/>
      <w:i w:val="0"/>
      <w:iCs w:val="0"/>
      <w:color w:val="000000"/>
      <w:sz w:val="30"/>
      <w:szCs w:val="30"/>
    </w:rPr>
  </w:style>
  <w:style w:type="character" w:customStyle="1" w:styleId="fontstyle21">
    <w:name w:val="fontstyle21"/>
    <w:basedOn w:val="DefaultParagraphFont"/>
    <w:rsid w:val="00D335AF"/>
    <w:rPr>
      <w:rFonts w:ascii="Times New Roman" w:hAnsi="Times New Roman" w:cs="Times New Roman" w:hint="default"/>
      <w:b w:val="0"/>
      <w:bCs w:val="0"/>
      <w:i/>
      <w:iCs/>
      <w:color w:val="000000"/>
      <w:sz w:val="30"/>
      <w:szCs w:val="30"/>
    </w:rPr>
  </w:style>
  <w:style w:type="character" w:customStyle="1" w:styleId="fontstyle31">
    <w:name w:val="fontstyle31"/>
    <w:basedOn w:val="DefaultParagraphFont"/>
    <w:rsid w:val="00D335AF"/>
    <w:rPr>
      <w:rFonts w:ascii="Times New Roman" w:hAnsi="Times New Roman" w:cs="Times New Roman" w:hint="default"/>
      <w:b/>
      <w:bCs/>
      <w:i w:val="0"/>
      <w:iCs w:val="0"/>
      <w:color w:val="000000"/>
      <w:sz w:val="30"/>
      <w:szCs w:val="30"/>
    </w:rPr>
  </w:style>
  <w:style w:type="character" w:customStyle="1" w:styleId="fontstyle41">
    <w:name w:val="fontstyle41"/>
    <w:basedOn w:val="DefaultParagraphFont"/>
    <w:rsid w:val="00D335AF"/>
    <w:rPr>
      <w:rFonts w:ascii="Times New Roman Bold" w:hAnsi="Times New Roman Bold" w:hint="default"/>
      <w:b/>
      <w:bCs/>
      <w:i w:val="0"/>
      <w:iCs w:val="0"/>
      <w:color w:val="000000"/>
      <w:sz w:val="30"/>
      <w:szCs w:val="30"/>
    </w:rPr>
  </w:style>
  <w:style w:type="character" w:customStyle="1" w:styleId="HeaderChar">
    <w:name w:val="Header Char"/>
    <w:basedOn w:val="DefaultParagraphFont"/>
    <w:link w:val="Header"/>
    <w:uiPriority w:val="99"/>
    <w:rsid w:val="00444777"/>
    <w:rPr>
      <w:rFonts w:ascii="Times New Roman" w:eastAsia="Times New Roman" w:hAnsi="Times New Roman" w:cs="Times New Roman"/>
      <w:color w:val="00000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214265"/>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Calibri" w:eastAsia="Calibri" w:hAnsi="Calibri" w:cs="Calibr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49240">
      <w:bodyDiv w:val="1"/>
      <w:marLeft w:val="0"/>
      <w:marRight w:val="0"/>
      <w:marTop w:val="0"/>
      <w:marBottom w:val="0"/>
      <w:divBdr>
        <w:top w:val="none" w:sz="0" w:space="0" w:color="auto"/>
        <w:left w:val="none" w:sz="0" w:space="0" w:color="auto"/>
        <w:bottom w:val="none" w:sz="0" w:space="0" w:color="auto"/>
        <w:right w:val="none" w:sz="0" w:space="0" w:color="auto"/>
      </w:divBdr>
    </w:div>
    <w:div w:id="1828013479">
      <w:bodyDiv w:val="1"/>
      <w:marLeft w:val="0"/>
      <w:marRight w:val="0"/>
      <w:marTop w:val="0"/>
      <w:marBottom w:val="0"/>
      <w:divBdr>
        <w:top w:val="none" w:sz="0" w:space="0" w:color="auto"/>
        <w:left w:val="none" w:sz="0" w:space="0" w:color="auto"/>
        <w:bottom w:val="none" w:sz="0" w:space="0" w:color="auto"/>
        <w:right w:val="none" w:sz="0" w:space="0" w:color="auto"/>
      </w:divBdr>
    </w:div>
    <w:div w:id="1865511793">
      <w:bodyDiv w:val="1"/>
      <w:marLeft w:val="0"/>
      <w:marRight w:val="0"/>
      <w:marTop w:val="0"/>
      <w:marBottom w:val="0"/>
      <w:divBdr>
        <w:top w:val="none" w:sz="0" w:space="0" w:color="auto"/>
        <w:left w:val="none" w:sz="0" w:space="0" w:color="auto"/>
        <w:bottom w:val="none" w:sz="0" w:space="0" w:color="auto"/>
        <w:right w:val="none" w:sz="0" w:space="0" w:color="auto"/>
      </w:divBdr>
    </w:div>
    <w:div w:id="1896968272">
      <w:bodyDiv w:val="1"/>
      <w:marLeft w:val="0"/>
      <w:marRight w:val="0"/>
      <w:marTop w:val="0"/>
      <w:marBottom w:val="0"/>
      <w:divBdr>
        <w:top w:val="none" w:sz="0" w:space="0" w:color="auto"/>
        <w:left w:val="none" w:sz="0" w:space="0" w:color="auto"/>
        <w:bottom w:val="none" w:sz="0" w:space="0" w:color="auto"/>
        <w:right w:val="none" w:sz="0" w:space="0" w:color="auto"/>
      </w:divBdr>
    </w:div>
    <w:div w:id="2073691927">
      <w:bodyDiv w:val="1"/>
      <w:marLeft w:val="0"/>
      <w:marRight w:val="0"/>
      <w:marTop w:val="0"/>
      <w:marBottom w:val="0"/>
      <w:divBdr>
        <w:top w:val="none" w:sz="0" w:space="0" w:color="auto"/>
        <w:left w:val="none" w:sz="0" w:space="0" w:color="auto"/>
        <w:bottom w:val="none" w:sz="0" w:space="0" w:color="auto"/>
        <w:right w:val="none" w:sz="0" w:space="0" w:color="auto"/>
      </w:divBdr>
    </w:div>
    <w:div w:id="2115243910">
      <w:bodyDiv w:val="1"/>
      <w:marLeft w:val="0"/>
      <w:marRight w:val="0"/>
      <w:marTop w:val="0"/>
      <w:marBottom w:val="0"/>
      <w:divBdr>
        <w:top w:val="none" w:sz="0" w:space="0" w:color="auto"/>
        <w:left w:val="none" w:sz="0" w:space="0" w:color="auto"/>
        <w:bottom w:val="none" w:sz="0" w:space="0" w:color="auto"/>
        <w:right w:val="none" w:sz="0" w:space="0" w:color="auto"/>
      </w:divBdr>
    </w:div>
    <w:div w:id="21263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1726-7F78-4A85-A714-FF5D18C5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STC Pham Thi Huong</cp:lastModifiedBy>
  <cp:revision>120</cp:revision>
  <dcterms:created xsi:type="dcterms:W3CDTF">2025-03-12T07:01:00Z</dcterms:created>
  <dcterms:modified xsi:type="dcterms:W3CDTF">2026-05-11T12:46:00Z</dcterms:modified>
</cp:coreProperties>
</file>