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enStyleDefTable"/>
        <w:tblpPr w:leftFromText="180" w:rightFromText="180" w:vertAnchor="text" w:horzAnchor="margin" w:tblpY="50"/>
        <w:tblW w:w="15168" w:type="dxa"/>
        <w:tblInd w:w="0" w:type="dxa"/>
        <w:tblLook w:val="04A0" w:firstRow="1" w:lastRow="0" w:firstColumn="1" w:lastColumn="0" w:noHBand="0" w:noVBand="1"/>
      </w:tblPr>
      <w:tblGrid>
        <w:gridCol w:w="6096"/>
        <w:gridCol w:w="9072"/>
      </w:tblGrid>
      <w:tr w:rsidR="00970144" w:rsidRPr="005A609F" w14:paraId="4167B52E" w14:textId="77777777" w:rsidTr="00E52502">
        <w:trPr>
          <w:trHeight w:val="713"/>
        </w:trPr>
        <w:tc>
          <w:tcPr>
            <w:tcW w:w="6096" w:type="dxa"/>
            <w:tcMar>
              <w:top w:w="0" w:type="dxa"/>
              <w:left w:w="108" w:type="dxa"/>
              <w:bottom w:w="0" w:type="dxa"/>
              <w:right w:w="108" w:type="dxa"/>
            </w:tcMar>
            <w:hideMark/>
          </w:tcPr>
          <w:p w14:paraId="66F94B5A" w14:textId="77777777" w:rsidR="00CA4134" w:rsidRPr="005A609F" w:rsidRDefault="00CA4134">
            <w:pPr>
              <w:jc w:val="center"/>
              <w:rPr>
                <w:bCs/>
                <w:sz w:val="26"/>
                <w:szCs w:val="26"/>
              </w:rPr>
            </w:pPr>
            <w:r w:rsidRPr="005A609F">
              <w:br w:type="page"/>
            </w:r>
            <w:r w:rsidRPr="005A609F">
              <w:rPr>
                <w:bCs/>
                <w:sz w:val="26"/>
                <w:szCs w:val="26"/>
              </w:rPr>
              <w:t>UBND TỈNH TUYÊN QUANG</w:t>
            </w:r>
          </w:p>
          <w:p w14:paraId="04CC9D42" w14:textId="3F63F1C3" w:rsidR="00CA4134" w:rsidRPr="005A609F" w:rsidRDefault="00CA4134">
            <w:pPr>
              <w:jc w:val="center"/>
              <w:rPr>
                <w:b/>
                <w:bCs/>
                <w:sz w:val="26"/>
                <w:szCs w:val="26"/>
              </w:rPr>
            </w:pPr>
            <w:r w:rsidRPr="005A609F">
              <w:rPr>
                <w:noProof/>
              </w:rPr>
              <mc:AlternateContent>
                <mc:Choice Requires="wps">
                  <w:drawing>
                    <wp:anchor distT="0" distB="0" distL="114300" distR="114300" simplePos="0" relativeHeight="251659264" behindDoc="0" locked="0" layoutInCell="1" allowOverlap="1" wp14:anchorId="429E7429" wp14:editId="1AC29933">
                      <wp:simplePos x="0" y="0"/>
                      <wp:positionH relativeFrom="column">
                        <wp:posOffset>1559560</wp:posOffset>
                      </wp:positionH>
                      <wp:positionV relativeFrom="paragraph">
                        <wp:posOffset>209550</wp:posOffset>
                      </wp:positionV>
                      <wp:extent cx="622300" cy="0"/>
                      <wp:effectExtent l="0" t="0" r="0" b="0"/>
                      <wp:wrapNone/>
                      <wp:docPr id="4" name="Straight Connector 4"/>
                      <wp:cNvGraphicFramePr/>
                      <a:graphic xmlns:a="http://schemas.openxmlformats.org/drawingml/2006/main">
                        <a:graphicData uri="http://schemas.microsoft.com/office/word/2010/wordprocessingShape">
                          <wps:wsp>
                            <wps:cNvCnPr/>
                            <wps:spPr bwMode="auto">
                              <a:xfrm>
                                <a:off x="0" y="0"/>
                                <a:ext cx="622300" cy="0"/>
                              </a:xfrm>
                              <a:prstGeom prst="line">
                                <a:avLst/>
                              </a:prstGeom>
                              <a:noFill/>
                              <a:ln>
                                <a:solidFill>
                                  <a:srgbClr val="000000"/>
                                </a:solidFill>
                              </a:ln>
                            </wps:spPr>
                            <wps:bodyPr/>
                          </wps:wsp>
                        </a:graphicData>
                      </a:graphic>
                      <wp14:sizeRelH relativeFrom="page">
                        <wp14:pctWidth>0</wp14:pctWidth>
                      </wp14:sizeRelH>
                      <wp14:sizeRelV relativeFrom="page">
                        <wp14:pctHeight>0</wp14:pctHeight>
                      </wp14:sizeRelV>
                    </wp:anchor>
                  </w:drawing>
                </mc:Choice>
                <mc:Fallback>
                  <w:pict>
                    <v:line w14:anchorId="4665788E"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2.8pt,16.5pt" to="171.8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"/>
                  </w:pict>
                </mc:Fallback>
              </mc:AlternateContent>
            </w:r>
            <w:r w:rsidRPr="005A609F">
              <w:rPr>
                <w:b/>
                <w:bCs/>
                <w:sz w:val="26"/>
                <w:szCs w:val="26"/>
              </w:rPr>
              <w:t xml:space="preserve">SỞ </w:t>
            </w:r>
            <w:r w:rsidR="00970144" w:rsidRPr="005A609F">
              <w:rPr>
                <w:b/>
                <w:bCs/>
                <w:sz w:val="26"/>
                <w:szCs w:val="26"/>
              </w:rPr>
              <w:t>XÂY DỰNG</w:t>
            </w:r>
          </w:p>
        </w:tc>
        <w:tc>
          <w:tcPr>
            <w:tcW w:w="9072" w:type="dxa"/>
            <w:tcMar>
              <w:top w:w="0" w:type="dxa"/>
              <w:left w:w="108" w:type="dxa"/>
              <w:bottom w:w="0" w:type="dxa"/>
              <w:right w:w="108" w:type="dxa"/>
            </w:tcMar>
            <w:hideMark/>
          </w:tcPr>
          <w:p w14:paraId="38B98D1F" w14:textId="60254C0C" w:rsidR="00CA4134" w:rsidRPr="005A609F" w:rsidRDefault="001C4E2C">
            <w:pPr>
              <w:jc w:val="center"/>
              <w:rPr>
                <w:sz w:val="26"/>
                <w:szCs w:val="26"/>
              </w:rPr>
            </w:pPr>
            <w:r w:rsidRPr="005A609F">
              <w:rPr>
                <w:noProof/>
              </w:rPr>
              <mc:AlternateContent>
                <mc:Choice Requires="wps">
                  <w:drawing>
                    <wp:anchor distT="0" distB="0" distL="114300" distR="114300" simplePos="0" relativeHeight="251660288" behindDoc="0" locked="0" layoutInCell="1" allowOverlap="1" wp14:anchorId="19D5EC34" wp14:editId="274D3619">
                      <wp:simplePos x="0" y="0"/>
                      <wp:positionH relativeFrom="column">
                        <wp:posOffset>1701800</wp:posOffset>
                      </wp:positionH>
                      <wp:positionV relativeFrom="paragraph">
                        <wp:posOffset>398145</wp:posOffset>
                      </wp:positionV>
                      <wp:extent cx="2247265" cy="0"/>
                      <wp:effectExtent l="0" t="0" r="0" b="0"/>
                      <wp:wrapNone/>
                      <wp:docPr id="5" name="Straight Connector 5"/>
                      <wp:cNvGraphicFramePr/>
                      <a:graphic xmlns:a="http://schemas.openxmlformats.org/drawingml/2006/main">
                        <a:graphicData uri="http://schemas.microsoft.com/office/word/2010/wordprocessingShape">
                          <wps:wsp>
                            <wps:cNvCnPr/>
                            <wps:spPr bwMode="auto">
                              <a:xfrm>
                                <a:off x="0" y="0"/>
                                <a:ext cx="2247265" cy="0"/>
                              </a:xfrm>
                              <a:prstGeom prst="line">
                                <a:avLst/>
                              </a:prstGeom>
                              <a:noFill/>
                              <a:ln>
                                <a:solidFill>
                                  <a:srgbClr val="000000"/>
                                </a:solidFill>
                              </a:ln>
                            </wps:spPr>
                            <wps:bodyPr/>
                          </wps:wsp>
                        </a:graphicData>
                      </a:graphic>
                      <wp14:sizeRelH relativeFrom="margin">
                        <wp14:pctWidth>0</wp14:pctWidth>
                      </wp14:sizeRelH>
                      <wp14:sizeRelV relativeFrom="page">
                        <wp14:pctHeight>0</wp14:pctHeight>
                      </wp14:sizeRelV>
                    </wp:anchor>
                  </w:drawing>
                </mc:Choice>
                <mc:Fallback>
                  <w:pict>
                    <v:line w14:anchorId="190E755B" id="Straight Connector 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134pt,31.35pt" to="310.95pt,3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"/>
                  </w:pict>
                </mc:Fallback>
              </mc:AlternateContent>
            </w:r>
            <w:r w:rsidR="00CA4134" w:rsidRPr="005A609F">
              <w:rPr>
                <w:b/>
                <w:bCs/>
                <w:sz w:val="26"/>
                <w:szCs w:val="26"/>
              </w:rPr>
              <w:t>CỘNG HÒA XÃ HỘI CHỦ NGHĨA VIỆT NAM</w:t>
            </w:r>
            <w:r w:rsidR="00CA4134" w:rsidRPr="005A609F">
              <w:rPr>
                <w:b/>
                <w:bCs/>
                <w:sz w:val="26"/>
                <w:szCs w:val="26"/>
              </w:rPr>
              <w:br/>
            </w:r>
            <w:r w:rsidR="00CA4134" w:rsidRPr="005A609F">
              <w:rPr>
                <w:b/>
                <w:bCs/>
                <w:sz w:val="28"/>
                <w:szCs w:val="28"/>
              </w:rPr>
              <w:t>Độc lập - Tự do - Hạnh phúc</w:t>
            </w:r>
          </w:p>
        </w:tc>
      </w:tr>
    </w:tbl>
    <w:tbl>
      <w:tblPr>
        <w:tblW w:w="5079" w:type="pct"/>
        <w:tblLook w:val="01E0" w:firstRow="1" w:lastRow="1" w:firstColumn="1" w:lastColumn="1" w:noHBand="0" w:noVBand="0"/>
      </w:tblPr>
      <w:tblGrid>
        <w:gridCol w:w="5704"/>
        <w:gridCol w:w="9386"/>
      </w:tblGrid>
      <w:tr w:rsidR="00970144" w:rsidRPr="005A609F" w14:paraId="5BBFD659" w14:textId="77777777" w:rsidTr="004B0B6C">
        <w:trPr>
          <w:trHeight w:val="755"/>
        </w:trPr>
        <w:tc>
          <w:tcPr>
            <w:tcW w:w="1890" w:type="pct"/>
          </w:tcPr>
          <w:p w14:paraId="610F6303" w14:textId="77777777" w:rsidR="00CA4134" w:rsidRPr="005A609F" w:rsidRDefault="00CA4134">
            <w:pPr>
              <w:spacing w:before="120"/>
              <w:jc w:val="center"/>
              <w:rPr>
                <w:sz w:val="20"/>
              </w:rPr>
            </w:pPr>
          </w:p>
        </w:tc>
        <w:tc>
          <w:tcPr>
            <w:tcW w:w="3110" w:type="pct"/>
          </w:tcPr>
          <w:p w14:paraId="26566726" w14:textId="182DA4CD" w:rsidR="00CA4134" w:rsidRPr="005A609F" w:rsidRDefault="00CA4134" w:rsidP="00AC085F">
            <w:pPr>
              <w:spacing w:before="120"/>
              <w:jc w:val="center"/>
              <w:rPr>
                <w:i/>
                <w:sz w:val="28"/>
                <w:szCs w:val="28"/>
              </w:rPr>
            </w:pPr>
            <w:r w:rsidRPr="005A609F">
              <w:rPr>
                <w:i/>
                <w:iCs/>
                <w:sz w:val="28"/>
                <w:szCs w:val="28"/>
              </w:rPr>
              <w:t>Tuyên Quang, ngày</w:t>
            </w:r>
            <w:r w:rsidR="00AC085F" w:rsidRPr="005A609F">
              <w:rPr>
                <w:i/>
                <w:iCs/>
                <w:sz w:val="28"/>
                <w:szCs w:val="28"/>
              </w:rPr>
              <w:t xml:space="preserve"> </w:t>
            </w:r>
            <w:r w:rsidR="00DA4AA3" w:rsidRPr="005A609F">
              <w:rPr>
                <w:i/>
                <w:iCs/>
                <w:sz w:val="28"/>
                <w:szCs w:val="28"/>
              </w:rPr>
              <w:t>05</w:t>
            </w:r>
            <w:r w:rsidRPr="005A609F">
              <w:rPr>
                <w:i/>
                <w:iCs/>
                <w:sz w:val="28"/>
                <w:szCs w:val="28"/>
              </w:rPr>
              <w:t xml:space="preserve"> tháng </w:t>
            </w:r>
            <w:r w:rsidR="00DA4AA3" w:rsidRPr="005A609F">
              <w:rPr>
                <w:i/>
                <w:iCs/>
                <w:sz w:val="28"/>
                <w:szCs w:val="28"/>
              </w:rPr>
              <w:t>5</w:t>
            </w:r>
            <w:r w:rsidRPr="005A609F">
              <w:rPr>
                <w:i/>
                <w:iCs/>
                <w:sz w:val="28"/>
                <w:szCs w:val="28"/>
              </w:rPr>
              <w:t xml:space="preserve"> năm 2026</w:t>
            </w:r>
          </w:p>
        </w:tc>
      </w:tr>
    </w:tbl>
    <w:p w14:paraId="1B7FB568" w14:textId="77777777" w:rsidR="00CA4134" w:rsidRPr="005A609F" w:rsidRDefault="00CA4134" w:rsidP="00CA4134">
      <w:pPr>
        <w:spacing w:before="120"/>
        <w:jc w:val="center"/>
        <w:rPr>
          <w:b/>
          <w:bCs/>
          <w:sz w:val="28"/>
          <w:szCs w:val="28"/>
        </w:rPr>
      </w:pPr>
      <w:r w:rsidRPr="005A609F">
        <w:rPr>
          <w:b/>
          <w:bCs/>
          <w:sz w:val="28"/>
          <w:szCs w:val="28"/>
        </w:rPr>
        <w:t>BẢN SO SÁNH, THUYẾT MINH</w:t>
      </w:r>
    </w:p>
    <w:p w14:paraId="1970EE03" w14:textId="77777777" w:rsidR="00DA4AA3" w:rsidRPr="005A609F" w:rsidRDefault="00CA4134" w:rsidP="00DA4AA3">
      <w:pPr>
        <w:ind w:right="-142"/>
        <w:jc w:val="center"/>
        <w:rPr>
          <w:b/>
          <w:sz w:val="28"/>
          <w:szCs w:val="28"/>
        </w:rPr>
      </w:pPr>
      <w:r w:rsidRPr="005A609F">
        <w:rPr>
          <w:b/>
          <w:sz w:val="28"/>
          <w:szCs w:val="28"/>
        </w:rPr>
        <w:t xml:space="preserve">Dự thảo </w:t>
      </w:r>
      <w:r w:rsidR="002E71B9" w:rsidRPr="005A609F">
        <w:rPr>
          <w:b/>
          <w:sz w:val="28"/>
          <w:szCs w:val="28"/>
        </w:rPr>
        <w:t xml:space="preserve">Quyết định của Ủy ban nhân dân tỉnh </w:t>
      </w:r>
      <w:r w:rsidR="00970144" w:rsidRPr="005A609F">
        <w:rPr>
          <w:b/>
          <w:sz w:val="28"/>
          <w:szCs w:val="28"/>
        </w:rPr>
        <w:t xml:space="preserve">ban hành </w:t>
      </w:r>
      <w:r w:rsidR="00DA4AA3" w:rsidRPr="005A609F">
        <w:rPr>
          <w:b/>
          <w:sz w:val="28"/>
          <w:szCs w:val="28"/>
        </w:rPr>
        <w:t xml:space="preserve">Quy định một số nội dung liên quan đến bồi thường, hỗ trợ về nhà, nhà ở, công trình xây dựng gắn liền với đất và bồi thường, hỗ trợ do phải di dời mồ mả khi Nhà nước </w:t>
      </w:r>
    </w:p>
    <w:p w14:paraId="3639C26E" w14:textId="5E631030" w:rsidR="00CA4134" w:rsidRPr="005A609F" w:rsidRDefault="00DA4AA3" w:rsidP="00DA4AA3">
      <w:pPr>
        <w:ind w:right="-142"/>
        <w:jc w:val="center"/>
        <w:rPr>
          <w:b/>
          <w:sz w:val="28"/>
          <w:szCs w:val="28"/>
        </w:rPr>
      </w:pPr>
      <w:r w:rsidRPr="005A609F">
        <w:rPr>
          <w:b/>
          <w:sz w:val="28"/>
          <w:szCs w:val="28"/>
        </w:rPr>
        <w:t>thu hồi đất trên địa bàn tỉnh Tuyên Quang</w:t>
      </w:r>
      <w:r w:rsidR="00970144" w:rsidRPr="005A609F">
        <w:rPr>
          <w:b/>
          <w:sz w:val="28"/>
          <w:szCs w:val="28"/>
        </w:rPr>
        <w:t xml:space="preserve"> </w:t>
      </w:r>
    </w:p>
    <w:p w14:paraId="08EEF2AA" w14:textId="00B5C326" w:rsidR="00E52502" w:rsidRPr="005A609F" w:rsidRDefault="00970144" w:rsidP="00CA4134">
      <w:pPr>
        <w:ind w:right="-142"/>
        <w:jc w:val="center"/>
        <w:rPr>
          <w:b/>
          <w:sz w:val="28"/>
          <w:szCs w:val="28"/>
        </w:rPr>
      </w:pPr>
      <w:r w:rsidRPr="005A609F">
        <w:rPr>
          <w:b/>
          <w:noProof/>
          <w:sz w:val="28"/>
          <w:szCs w:val="28"/>
          <w14:ligatures w14:val="standardContextual"/>
        </w:rPr>
        <mc:AlternateContent>
          <mc:Choice Requires="wps">
            <w:drawing>
              <wp:anchor distT="0" distB="0" distL="114300" distR="114300" simplePos="0" relativeHeight="251661312" behindDoc="0" locked="0" layoutInCell="1" allowOverlap="1" wp14:anchorId="42757FA6" wp14:editId="5427E6AA">
                <wp:simplePos x="0" y="0"/>
                <wp:positionH relativeFrom="column">
                  <wp:posOffset>3997960</wp:posOffset>
                </wp:positionH>
                <wp:positionV relativeFrom="paragraph">
                  <wp:posOffset>37465</wp:posOffset>
                </wp:positionV>
                <wp:extent cx="1414732" cy="0"/>
                <wp:effectExtent l="0" t="0" r="0" b="0"/>
                <wp:wrapNone/>
                <wp:docPr id="481737037" name="Straight Connector 1"/>
                <wp:cNvGraphicFramePr/>
                <a:graphic xmlns:a="http://schemas.openxmlformats.org/drawingml/2006/main">
                  <a:graphicData uri="http://schemas.microsoft.com/office/word/2010/wordprocessingShape">
                    <wps:wsp>
                      <wps:cNvCnPr/>
                      <wps:spPr>
                        <a:xfrm>
                          <a:off x="0" y="0"/>
                          <a:ext cx="141473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7441C9B"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14.8pt,2.95pt" to="426.2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" strokecolor="black [3200]" strokeweight=".5pt">
                <v:stroke joinstyle="miter"/>
              </v:line>
            </w:pict>
          </mc:Fallback>
        </mc:AlternateContent>
      </w:r>
    </w:p>
    <w:tbl>
      <w:tblPr>
        <w:tblW w:w="5107" w:type="pct"/>
        <w:tblCellMar>
          <w:left w:w="113" w:type="dxa"/>
          <w:right w:w="113" w:type="dxa"/>
        </w:tblCellMar>
        <w:tblLook w:val="0000" w:firstRow="0" w:lastRow="0" w:firstColumn="0" w:lastColumn="0" w:noHBand="0" w:noVBand="0"/>
      </w:tblPr>
      <w:tblGrid>
        <w:gridCol w:w="3693"/>
        <w:gridCol w:w="8070"/>
        <w:gridCol w:w="3400"/>
      </w:tblGrid>
      <w:tr w:rsidR="00134546" w:rsidRPr="005A609F" w14:paraId="63C7FB3D" w14:textId="77777777" w:rsidTr="005A609F">
        <w:trPr>
          <w:trHeight w:val="20"/>
          <w:tblHeader/>
        </w:trPr>
        <w:tc>
          <w:tcPr>
            <w:tcW w:w="1218" w:type="pct"/>
            <w:tcBorders>
              <w:top w:val="single" w:sz="4" w:space="0" w:color="auto"/>
              <w:left w:val="single" w:sz="4" w:space="0" w:color="auto"/>
              <w:bottom w:val="nil"/>
              <w:right w:val="nil"/>
            </w:tcBorders>
            <w:shd w:val="clear" w:color="auto" w:fill="FFFFFF"/>
            <w:vAlign w:val="center"/>
          </w:tcPr>
          <w:p w14:paraId="5D0CA8A7" w14:textId="77777777" w:rsidR="00CA4134" w:rsidRPr="005A609F" w:rsidRDefault="00CA4134" w:rsidP="00C42C42">
            <w:pPr>
              <w:spacing w:before="60" w:after="60"/>
              <w:ind w:left="57" w:right="57"/>
              <w:jc w:val="center"/>
              <w:rPr>
                <w:b/>
              </w:rPr>
            </w:pPr>
            <w:r w:rsidRPr="005A609F">
              <w:rPr>
                <w:b/>
              </w:rPr>
              <w:t>QUY PHẠM PHÁP LUẬT HIỆN HÀNH</w:t>
            </w:r>
          </w:p>
        </w:tc>
        <w:tc>
          <w:tcPr>
            <w:tcW w:w="2661" w:type="pct"/>
            <w:tcBorders>
              <w:top w:val="single" w:sz="4" w:space="0" w:color="auto"/>
              <w:left w:val="single" w:sz="4" w:space="0" w:color="auto"/>
              <w:bottom w:val="nil"/>
              <w:right w:val="nil"/>
            </w:tcBorders>
            <w:shd w:val="clear" w:color="auto" w:fill="FFFFFF"/>
            <w:vAlign w:val="center"/>
          </w:tcPr>
          <w:p w14:paraId="49AF07D4" w14:textId="77777777" w:rsidR="00CA4134" w:rsidRPr="005A609F" w:rsidRDefault="00CA4134" w:rsidP="00C42C42">
            <w:pPr>
              <w:spacing w:before="60" w:after="60"/>
              <w:ind w:left="57" w:right="57"/>
              <w:jc w:val="center"/>
              <w:rPr>
                <w:b/>
              </w:rPr>
            </w:pPr>
            <w:r w:rsidRPr="005A609F">
              <w:rPr>
                <w:b/>
              </w:rPr>
              <w:t>DỰ THẢO VĂN BẢN</w:t>
            </w:r>
          </w:p>
        </w:tc>
        <w:tc>
          <w:tcPr>
            <w:tcW w:w="1121" w:type="pct"/>
            <w:tcBorders>
              <w:top w:val="single" w:sz="4" w:space="0" w:color="auto"/>
              <w:left w:val="single" w:sz="4" w:space="0" w:color="auto"/>
              <w:bottom w:val="nil"/>
              <w:right w:val="single" w:sz="4" w:space="0" w:color="auto"/>
            </w:tcBorders>
            <w:shd w:val="clear" w:color="auto" w:fill="FFFFFF"/>
            <w:vAlign w:val="center"/>
          </w:tcPr>
          <w:p w14:paraId="5ACC1ED7" w14:textId="77777777" w:rsidR="00CA4134" w:rsidRPr="005A609F" w:rsidRDefault="00CA4134" w:rsidP="00C42C42">
            <w:pPr>
              <w:spacing w:before="60" w:after="60"/>
              <w:ind w:left="57" w:right="57"/>
              <w:jc w:val="center"/>
              <w:rPr>
                <w:b/>
              </w:rPr>
            </w:pPr>
            <w:r w:rsidRPr="005A609F">
              <w:rPr>
                <w:b/>
              </w:rPr>
              <w:t>THUYẾT MINH</w:t>
            </w:r>
          </w:p>
        </w:tc>
      </w:tr>
      <w:tr w:rsidR="00134546" w:rsidRPr="005A609F" w14:paraId="7B733B62" w14:textId="77777777" w:rsidTr="005A609F">
        <w:trPr>
          <w:trHeight w:val="20"/>
        </w:trPr>
        <w:tc>
          <w:tcPr>
            <w:tcW w:w="1218" w:type="pct"/>
            <w:tcBorders>
              <w:top w:val="single" w:sz="4" w:space="0" w:color="auto"/>
              <w:left w:val="single" w:sz="4" w:space="0" w:color="auto"/>
              <w:bottom w:val="single" w:sz="4" w:space="0" w:color="auto"/>
              <w:right w:val="nil"/>
            </w:tcBorders>
            <w:shd w:val="clear" w:color="auto" w:fill="FFFFFF"/>
          </w:tcPr>
          <w:p w14:paraId="0EB02907" w14:textId="5BC23B40" w:rsidR="00DA4AA3" w:rsidRPr="005A609F" w:rsidRDefault="00DA4AA3" w:rsidP="00DA4AA3">
            <w:pPr>
              <w:shd w:val="clear" w:color="auto" w:fill="FFFFFF"/>
              <w:spacing w:before="60" w:after="60"/>
              <w:ind w:firstLine="306"/>
              <w:jc w:val="both"/>
              <w:textAlignment w:val="baseline"/>
              <w:rPr>
                <w:i/>
                <w:iCs/>
              </w:rPr>
            </w:pPr>
            <w:r w:rsidRPr="005A609F">
              <w:t>Tại</w:t>
            </w:r>
            <w:r w:rsidRPr="005A609F">
              <w:t xml:space="preserve"> </w:t>
            </w:r>
            <w:r w:rsidRPr="005A609F">
              <w:rPr>
                <w:lang w:val="vi-VN"/>
              </w:rPr>
              <w:t xml:space="preserve">khoản 4 Điều 102 Luật Đất đai ngày 18/01/2024 quy định: </w:t>
            </w:r>
            <w:r w:rsidRPr="005A609F">
              <w:rPr>
                <w:i/>
                <w:iCs/>
                <w:lang w:val="vi-VN"/>
              </w:rPr>
              <w:t>“4. Ủy ban nhân dân cấp tỉnh ban hành đơn giá bồi thường thiệt hại thực tế về nhà, nhà ở, công trình xây dựng quy định tại Điều này để làm căn cứ tính bồi thường khi thu hồi đất; đơn giá bồi thường thiệt hại quy định tại Điều này bảo đảm phù hợp với giá thị trường và phải xem xét điều chỉnh khi có biến động để làm căn cứ tính bồi thường khi thu hồi đất.”</w:t>
            </w:r>
            <w:r w:rsidRPr="005A609F">
              <w:rPr>
                <w:i/>
                <w:iCs/>
              </w:rPr>
              <w:t>.</w:t>
            </w:r>
          </w:p>
          <w:p w14:paraId="42C49B42" w14:textId="749DFA61" w:rsidR="007D57B1" w:rsidRPr="005A609F" w:rsidRDefault="00DA4AA3" w:rsidP="00DE3FA8">
            <w:pPr>
              <w:shd w:val="clear" w:color="auto" w:fill="FFFFFF"/>
              <w:spacing w:before="60" w:after="60"/>
              <w:ind w:firstLine="306"/>
              <w:jc w:val="both"/>
              <w:textAlignment w:val="baseline"/>
            </w:pPr>
            <w:r w:rsidRPr="005A609F">
              <w:t>Tại</w:t>
            </w:r>
            <w:r w:rsidRPr="005A609F">
              <w:t xml:space="preserve">  khoản 2 Điều 104 </w:t>
            </w:r>
            <w:r w:rsidRPr="005A609F">
              <w:rPr>
                <w:lang w:val="vi-VN"/>
              </w:rPr>
              <w:t>Luật Đất đai ngày 18/01/2024</w:t>
            </w:r>
            <w:r w:rsidRPr="005A609F">
              <w:t xml:space="preserve">. Bồi thường chi phí di chuyển tài sản khi Nhà nước thu hồi đất quy định “ </w:t>
            </w:r>
            <w:r w:rsidRPr="005A609F">
              <w:rPr>
                <w:i/>
              </w:rPr>
              <w:t>Ủy ban nhân dân cấp tỉnh quy định mức bồi thường tại khoản 1 Điều này”</w:t>
            </w:r>
            <w:r w:rsidRPr="005A609F">
              <w:t>.</w:t>
            </w:r>
          </w:p>
        </w:tc>
        <w:tc>
          <w:tcPr>
            <w:tcW w:w="2661" w:type="pct"/>
            <w:tcBorders>
              <w:top w:val="single" w:sz="4" w:space="0" w:color="auto"/>
              <w:left w:val="single" w:sz="4" w:space="0" w:color="auto"/>
              <w:bottom w:val="single" w:sz="4" w:space="0" w:color="auto"/>
              <w:right w:val="nil"/>
            </w:tcBorders>
            <w:shd w:val="clear" w:color="auto" w:fill="FFFFFF"/>
          </w:tcPr>
          <w:p w14:paraId="7762AA7A" w14:textId="05C7EF57" w:rsidR="00BD23DE" w:rsidRPr="005A609F" w:rsidRDefault="00DF29F0" w:rsidP="00B52919">
            <w:pPr>
              <w:spacing w:beforeLines="60" w:before="144" w:afterLines="60" w:after="144"/>
              <w:ind w:left="57" w:right="57" w:firstLine="284"/>
              <w:jc w:val="both"/>
              <w:rPr>
                <w:bCs/>
                <w:spacing w:val="2"/>
              </w:rPr>
            </w:pPr>
            <w:r w:rsidRPr="005A609F">
              <w:rPr>
                <w:bCs/>
                <w:spacing w:val="2"/>
              </w:rPr>
              <w:t>Nội dung dự thảo Quyết định</w:t>
            </w:r>
            <w:r w:rsidR="00F228AD" w:rsidRPr="005A609F">
              <w:rPr>
                <w:bCs/>
                <w:spacing w:val="2"/>
              </w:rPr>
              <w:t xml:space="preserve"> gồm 02 Điều: (1) </w:t>
            </w:r>
            <w:r w:rsidR="00C719AE" w:rsidRPr="005A609F">
              <w:rPr>
                <w:bCs/>
                <w:spacing w:val="2"/>
              </w:rPr>
              <w:t xml:space="preserve">Điều 1. Ban hành kèm theo Quyết định này </w:t>
            </w:r>
            <w:r w:rsidR="004E44A6" w:rsidRPr="005A609F">
              <w:rPr>
                <w:bCs/>
                <w:spacing w:val="2"/>
              </w:rPr>
              <w:t>Quy định một số nội dung liên quan đến bồi thường, hỗ trợ về nhà, nhà ở, công trình xây dựng gắn liền với đất và bồi thường, hỗ trợ do phải di dời mồ mả khi Nhà nước thu hồi đất trên địa bàn tỉnh Tuyên Quang</w:t>
            </w:r>
            <w:r w:rsidR="00C719AE" w:rsidRPr="005A609F">
              <w:rPr>
                <w:bCs/>
                <w:spacing w:val="2"/>
              </w:rPr>
              <w:t>; (2) Điều 2. Điều khoản thi hành</w:t>
            </w:r>
            <w:r w:rsidR="004E44A6" w:rsidRPr="005A609F">
              <w:rPr>
                <w:bCs/>
                <w:spacing w:val="2"/>
              </w:rPr>
              <w:t>.</w:t>
            </w:r>
          </w:p>
          <w:p w14:paraId="75F4F1C3" w14:textId="0EBAF3BA" w:rsidR="00BD23DE" w:rsidRPr="005A609F" w:rsidRDefault="00C719AE" w:rsidP="00B52919">
            <w:pPr>
              <w:spacing w:beforeLines="60" w:before="144" w:afterLines="60" w:after="144"/>
              <w:ind w:left="57" w:right="57" w:firstLine="284"/>
              <w:jc w:val="both"/>
              <w:rPr>
                <w:bCs/>
                <w:spacing w:val="2"/>
              </w:rPr>
            </w:pPr>
            <w:r w:rsidRPr="005A609F">
              <w:rPr>
                <w:bCs/>
                <w:spacing w:val="2"/>
              </w:rPr>
              <w:t>Nội dung dự thảo Quy chế gồm 03 Chương, 1</w:t>
            </w:r>
            <w:r w:rsidR="00710E5B" w:rsidRPr="005A609F">
              <w:rPr>
                <w:bCs/>
                <w:spacing w:val="2"/>
              </w:rPr>
              <w:t>1</w:t>
            </w:r>
            <w:r w:rsidRPr="005A609F">
              <w:rPr>
                <w:bCs/>
                <w:spacing w:val="2"/>
              </w:rPr>
              <w:t xml:space="preserve"> Điều, cụ thể: </w:t>
            </w:r>
          </w:p>
          <w:p w14:paraId="1CB8CF80" w14:textId="77777777" w:rsidR="00093E49" w:rsidRPr="005A609F" w:rsidRDefault="00C719AE" w:rsidP="00093E49">
            <w:pPr>
              <w:spacing w:beforeLines="60" w:before="144" w:afterLines="60" w:after="144"/>
              <w:ind w:left="57" w:right="57" w:firstLine="284"/>
              <w:jc w:val="both"/>
              <w:rPr>
                <w:bCs/>
                <w:spacing w:val="2"/>
              </w:rPr>
            </w:pPr>
            <w:r w:rsidRPr="005A609F">
              <w:rPr>
                <w:bCs/>
                <w:spacing w:val="2"/>
              </w:rPr>
              <w:t>Chương 1 gồm 0</w:t>
            </w:r>
            <w:r w:rsidR="00710E5B" w:rsidRPr="005A609F">
              <w:rPr>
                <w:bCs/>
                <w:spacing w:val="2"/>
              </w:rPr>
              <w:t>3</w:t>
            </w:r>
            <w:r w:rsidRPr="005A609F">
              <w:rPr>
                <w:bCs/>
                <w:spacing w:val="2"/>
              </w:rPr>
              <w:t xml:space="preserve"> Điều: (1) Điều 1. Phạm vi điều chỉnh; (2) Điều 2. Đối tượng áp dụng; (3) Điều 3. Nguyên tắc </w:t>
            </w:r>
            <w:r w:rsidR="00710E5B" w:rsidRPr="005A609F">
              <w:rPr>
                <w:bCs/>
                <w:spacing w:val="2"/>
              </w:rPr>
              <w:t>áp dụng</w:t>
            </w:r>
            <w:r w:rsidRPr="005A609F">
              <w:rPr>
                <w:bCs/>
                <w:spacing w:val="2"/>
              </w:rPr>
              <w:t xml:space="preserve">. </w:t>
            </w:r>
          </w:p>
          <w:p w14:paraId="6D95B439" w14:textId="77777777" w:rsidR="00093E49" w:rsidRPr="005A609F" w:rsidRDefault="00C719AE" w:rsidP="00093E49">
            <w:pPr>
              <w:spacing w:beforeLines="60" w:before="144" w:afterLines="60" w:after="144"/>
              <w:ind w:left="57" w:right="57" w:firstLine="284"/>
              <w:jc w:val="both"/>
              <w:rPr>
                <w:bCs/>
                <w:spacing w:val="2"/>
              </w:rPr>
            </w:pPr>
            <w:r w:rsidRPr="005A609F">
              <w:rPr>
                <w:bCs/>
                <w:spacing w:val="2"/>
              </w:rPr>
              <w:t>Chương II gồm 0</w:t>
            </w:r>
            <w:r w:rsidR="00710E5B" w:rsidRPr="005A609F">
              <w:rPr>
                <w:bCs/>
                <w:spacing w:val="2"/>
              </w:rPr>
              <w:t>7</w:t>
            </w:r>
            <w:r w:rsidRPr="005A609F">
              <w:rPr>
                <w:bCs/>
                <w:spacing w:val="2"/>
              </w:rPr>
              <w:t xml:space="preserve"> Điều: </w:t>
            </w:r>
            <w:r w:rsidR="00710E5B" w:rsidRPr="005A609F">
              <w:rPr>
                <w:bCs/>
                <w:spacing w:val="2"/>
              </w:rPr>
              <w:t xml:space="preserve">(1) Điều 4. </w:t>
            </w:r>
            <w:r w:rsidR="00710E5B" w:rsidRPr="005A609F">
              <w:rPr>
                <w:bCs/>
                <w:spacing w:val="2"/>
              </w:rPr>
              <w:t>Đơn giá bồi thường thiệt hại thực tế về nhà, nhà ở, công trình xây dựng gắn liền với đất khi Nhà nước thu hồi đất</w:t>
            </w:r>
            <w:r w:rsidR="00710E5B" w:rsidRPr="005A609F">
              <w:rPr>
                <w:bCs/>
                <w:spacing w:val="2"/>
              </w:rPr>
              <w:t xml:space="preserve">; </w:t>
            </w:r>
            <w:r w:rsidRPr="005A609F">
              <w:rPr>
                <w:bCs/>
                <w:spacing w:val="2"/>
              </w:rPr>
              <w:t>(</w:t>
            </w:r>
            <w:r w:rsidR="00710E5B" w:rsidRPr="005A609F">
              <w:rPr>
                <w:bCs/>
                <w:spacing w:val="2"/>
              </w:rPr>
              <w:t>2</w:t>
            </w:r>
            <w:r w:rsidRPr="005A609F">
              <w:rPr>
                <w:bCs/>
                <w:spacing w:val="2"/>
              </w:rPr>
              <w:t xml:space="preserve">) Điều 5. </w:t>
            </w:r>
            <w:r w:rsidR="00710E5B" w:rsidRPr="005A609F">
              <w:rPr>
                <w:bCs/>
                <w:spacing w:val="2"/>
              </w:rPr>
              <w:t>Phương pháp xác định chi phí bồi thường thiệt hại đối với nhà, nhà ở, công trình xây dựng gắn liền với đất khi Nhà nước thu hồi đất</w:t>
            </w:r>
            <w:r w:rsidRPr="005A609F">
              <w:rPr>
                <w:bCs/>
                <w:spacing w:val="2"/>
              </w:rPr>
              <w:t>; (</w:t>
            </w:r>
            <w:r w:rsidR="00710E5B" w:rsidRPr="005A609F">
              <w:rPr>
                <w:bCs/>
                <w:spacing w:val="2"/>
              </w:rPr>
              <w:t>3</w:t>
            </w:r>
            <w:r w:rsidRPr="005A609F">
              <w:rPr>
                <w:bCs/>
                <w:spacing w:val="2"/>
              </w:rPr>
              <w:t xml:space="preserve">) Điều 6. </w:t>
            </w:r>
            <w:r w:rsidR="00710E5B" w:rsidRPr="005A609F">
              <w:rPr>
                <w:bCs/>
                <w:spacing w:val="2"/>
              </w:rPr>
              <w:t>Mức bồi thường chi phí tự cải tạo, sửa chữa nhà ở cho người đang sử dụng nhà ở thuộc sở hữu nhà nước nằm trong phạm vi thu hồi đất phải phá dỡ</w:t>
            </w:r>
            <w:r w:rsidRPr="005A609F">
              <w:rPr>
                <w:bCs/>
                <w:spacing w:val="2"/>
              </w:rPr>
              <w:t>; (</w:t>
            </w:r>
            <w:r w:rsidR="00710E5B" w:rsidRPr="005A609F">
              <w:rPr>
                <w:bCs/>
                <w:spacing w:val="2"/>
              </w:rPr>
              <w:t>4</w:t>
            </w:r>
            <w:r w:rsidRPr="005A609F">
              <w:rPr>
                <w:bCs/>
                <w:spacing w:val="2"/>
              </w:rPr>
              <w:t xml:space="preserve">) Điều 7. </w:t>
            </w:r>
            <w:r w:rsidR="00710E5B" w:rsidRPr="005A609F">
              <w:rPr>
                <w:bCs/>
                <w:spacing w:val="2"/>
              </w:rPr>
              <w:t>Bồi thường thiệt hại đối với công trình hạ tầng kỹ thuật, hạ tầng xã hội khi Nhà nước thu hồi đất</w:t>
            </w:r>
            <w:r w:rsidR="00710E5B" w:rsidRPr="005A609F">
              <w:rPr>
                <w:bCs/>
                <w:spacing w:val="2"/>
              </w:rPr>
              <w:t xml:space="preserve">; (5) </w:t>
            </w:r>
            <w:bookmarkStart w:id="0" w:name="dieu_8"/>
            <w:r w:rsidR="00710E5B" w:rsidRPr="005A609F">
              <w:rPr>
                <w:bCs/>
                <w:spacing w:val="2"/>
              </w:rPr>
              <w:t>Điều 8. Mức bồi thường chi phí di chuyển tài sản khi Nhà nước thu hồi đất</w:t>
            </w:r>
            <w:bookmarkEnd w:id="0"/>
            <w:r w:rsidR="00710E5B" w:rsidRPr="005A609F">
              <w:rPr>
                <w:bCs/>
                <w:spacing w:val="2"/>
              </w:rPr>
              <w:t xml:space="preserve">; (6) </w:t>
            </w:r>
            <w:bookmarkStart w:id="1" w:name="dieu_9"/>
            <w:r w:rsidR="00710E5B" w:rsidRPr="005A609F">
              <w:rPr>
                <w:bCs/>
                <w:spacing w:val="2"/>
              </w:rPr>
              <w:t>Điều 9. Bồi thường, hỗ trợ do phải di dời mồ mả khi Nhà nước thu hồi đất</w:t>
            </w:r>
            <w:bookmarkEnd w:id="1"/>
            <w:r w:rsidR="00710E5B" w:rsidRPr="005A609F">
              <w:rPr>
                <w:bCs/>
                <w:spacing w:val="2"/>
              </w:rPr>
              <w:t xml:space="preserve">; (7) </w:t>
            </w:r>
            <w:bookmarkStart w:id="2" w:name="dieu_10"/>
            <w:r w:rsidR="00710E5B" w:rsidRPr="005A609F">
              <w:rPr>
                <w:bCs/>
                <w:spacing w:val="2"/>
              </w:rPr>
              <w:t xml:space="preserve">Điều 10. Quy định các trường hợp, biện pháp, mức hỗ trợ để tháo dỡ, phá dỡ, di dời tài sản gắn liền với đất là phần công trình xây dựng </w:t>
            </w:r>
            <w:r w:rsidR="00710E5B" w:rsidRPr="005A609F">
              <w:rPr>
                <w:bCs/>
                <w:spacing w:val="2"/>
              </w:rPr>
              <w:lastRenderedPageBreak/>
              <w:t>theo giấy phép xây dựng có thời hạn theo pháp luật về xây dựng mà đến thời điểm thu hồi đất giấy phép đã hết thời hạn</w:t>
            </w:r>
            <w:bookmarkEnd w:id="2"/>
            <w:r w:rsidR="00093E49" w:rsidRPr="005A609F">
              <w:rPr>
                <w:bCs/>
                <w:spacing w:val="2"/>
              </w:rPr>
              <w:t>.</w:t>
            </w:r>
          </w:p>
          <w:p w14:paraId="0C72DDB8" w14:textId="358C9750" w:rsidR="00710E5B" w:rsidRPr="005A609F" w:rsidRDefault="00C719AE" w:rsidP="00093E49">
            <w:pPr>
              <w:spacing w:beforeLines="60" w:before="144" w:afterLines="60" w:after="144"/>
              <w:ind w:left="57" w:right="57" w:firstLine="284"/>
              <w:jc w:val="both"/>
              <w:rPr>
                <w:bCs/>
                <w:spacing w:val="2"/>
              </w:rPr>
            </w:pPr>
            <w:r w:rsidRPr="005A609F">
              <w:rPr>
                <w:bCs/>
                <w:spacing w:val="2"/>
              </w:rPr>
              <w:t>Chương III gồm 0</w:t>
            </w:r>
            <w:r w:rsidR="00710E5B" w:rsidRPr="005A609F">
              <w:rPr>
                <w:bCs/>
                <w:spacing w:val="2"/>
              </w:rPr>
              <w:t>1</w:t>
            </w:r>
            <w:r w:rsidRPr="005A609F">
              <w:rPr>
                <w:bCs/>
                <w:spacing w:val="2"/>
              </w:rPr>
              <w:t xml:space="preserve"> Điều: </w:t>
            </w:r>
            <w:bookmarkStart w:id="3" w:name="dieu_11"/>
            <w:r w:rsidR="00710E5B" w:rsidRPr="005A609F">
              <w:rPr>
                <w:bCs/>
                <w:spacing w:val="2"/>
              </w:rPr>
              <w:t>Điều 11. Trách nhiệm của các cấp, các ngành</w:t>
            </w:r>
            <w:bookmarkEnd w:id="3"/>
          </w:p>
          <w:p w14:paraId="48BBC345" w14:textId="77777777" w:rsidR="00093E49" w:rsidRPr="005A609F" w:rsidRDefault="008F4B5E" w:rsidP="00093E49">
            <w:pPr>
              <w:spacing w:beforeLines="60" w:before="144" w:afterLines="60" w:after="144"/>
              <w:ind w:left="57" w:right="57" w:firstLine="284"/>
              <w:jc w:val="both"/>
              <w:rPr>
                <w:bCs/>
                <w:spacing w:val="2"/>
              </w:rPr>
            </w:pPr>
            <w:r w:rsidRPr="005A609F">
              <w:rPr>
                <w:bCs/>
                <w:spacing w:val="2"/>
              </w:rPr>
              <w:t xml:space="preserve">Nội dung chính của dự thảo Quyết định là ban hành </w:t>
            </w:r>
            <w:r w:rsidR="00710E5B" w:rsidRPr="005A609F">
              <w:rPr>
                <w:bCs/>
                <w:spacing w:val="2"/>
              </w:rPr>
              <w:t>Quy định một số nội dung liên quan đến bồi thường, hỗ trợ về nhà, nhà ở, công trình xây dựng gắn liền với đất và bồi thường, hỗ trợ do phải di dời mồ mả khi Nhà nước thu hồi đất trên địa bàn tỉnh Tuyên Quang</w:t>
            </w:r>
            <w:r w:rsidR="00710E5B" w:rsidRPr="005A609F">
              <w:rPr>
                <w:bCs/>
                <w:spacing w:val="2"/>
              </w:rPr>
              <w:t xml:space="preserve"> </w:t>
            </w:r>
            <w:r w:rsidRPr="005A609F">
              <w:rPr>
                <w:bCs/>
                <w:spacing w:val="2"/>
              </w:rPr>
              <w:t xml:space="preserve">được quy định tại </w:t>
            </w:r>
            <w:r w:rsidR="00710E5B" w:rsidRPr="005A609F">
              <w:rPr>
                <w:bCs/>
                <w:spacing w:val="2"/>
              </w:rPr>
              <w:t>khoản 4 Điều 102</w:t>
            </w:r>
            <w:r w:rsidR="00710E5B" w:rsidRPr="005A609F">
              <w:rPr>
                <w:bCs/>
                <w:spacing w:val="2"/>
              </w:rPr>
              <w:t xml:space="preserve">, </w:t>
            </w:r>
            <w:r w:rsidR="00710E5B" w:rsidRPr="005A609F">
              <w:rPr>
                <w:bCs/>
                <w:spacing w:val="2"/>
              </w:rPr>
              <w:t>khoản 2 Điều 104  Luật Đất đai ngày 18/01/2024</w:t>
            </w:r>
            <w:r w:rsidRPr="005A609F">
              <w:rPr>
                <w:bCs/>
                <w:spacing w:val="2"/>
              </w:rPr>
              <w:t>;</w:t>
            </w:r>
            <w:r w:rsidR="00710E5B" w:rsidRPr="005A609F">
              <w:rPr>
                <w:bCs/>
                <w:spacing w:val="2"/>
              </w:rPr>
              <w:t xml:space="preserve"> Điều 14, Điều 15 </w:t>
            </w:r>
            <w:r w:rsidR="00710E5B" w:rsidRPr="005A609F">
              <w:rPr>
                <w:bCs/>
                <w:spacing w:val="2"/>
              </w:rPr>
              <w:t>Nghị định số 88/2024/NĐ-CP ngày 15/7/2024 của Chính phủ</w:t>
            </w:r>
            <w:r w:rsidR="00710E5B" w:rsidRPr="005A609F">
              <w:rPr>
                <w:bCs/>
                <w:spacing w:val="2"/>
              </w:rPr>
              <w:t xml:space="preserve">; </w:t>
            </w:r>
            <w:r w:rsidRPr="005A609F">
              <w:rPr>
                <w:bCs/>
                <w:spacing w:val="2"/>
              </w:rPr>
              <w:t>cụ thể như sau:</w:t>
            </w:r>
          </w:p>
          <w:p w14:paraId="6F2433F5" w14:textId="77777777" w:rsidR="00093E49" w:rsidRPr="005A609F" w:rsidRDefault="008F4B5E" w:rsidP="00093E49">
            <w:pPr>
              <w:spacing w:beforeLines="60" w:before="144" w:afterLines="60" w:after="144"/>
              <w:ind w:left="57" w:right="57" w:firstLine="284"/>
              <w:jc w:val="both"/>
              <w:rPr>
                <w:bCs/>
                <w:spacing w:val="2"/>
              </w:rPr>
            </w:pPr>
            <w:r w:rsidRPr="005A609F">
              <w:rPr>
                <w:bCs/>
                <w:spacing w:val="2"/>
              </w:rPr>
              <w:t xml:space="preserve">1. </w:t>
            </w:r>
            <w:r w:rsidR="00093E49" w:rsidRPr="005A609F">
              <w:rPr>
                <w:bCs/>
                <w:spacing w:val="2"/>
              </w:rPr>
              <w:t>Về nguyên tắc áp dụng</w:t>
            </w:r>
          </w:p>
          <w:p w14:paraId="267F467D" w14:textId="77777777" w:rsidR="00093E49" w:rsidRPr="005A609F" w:rsidRDefault="00093E49" w:rsidP="00093E49">
            <w:pPr>
              <w:spacing w:beforeLines="60" w:before="144" w:afterLines="60" w:after="144"/>
              <w:ind w:left="57" w:right="57" w:firstLine="284"/>
              <w:jc w:val="both"/>
            </w:pPr>
            <w:r w:rsidRPr="005A609F">
              <w:t>-</w:t>
            </w:r>
            <w:r w:rsidRPr="005A609F">
              <w:t xml:space="preserve"> Đơn giá bồi thường thiệt hại thực tế về nhà, nhà ở, công trình xây dựng; mức bồi thường chi phí di chuyển tài sản; mức bồi thường, hỗ trợ do phải di dời mồ mả; mức hỗ trợ để tháo dỡ, phá dỡ, di dời tài sản gắn liền với đất là phần công trình xây dựng theo giấy phép xây dựng có thời hạn theo pháp luật về xây dựng mà đến thời điểm thu hồi đất giấy phép đã hết thời hạn quy định tại Chương II Quy định này là căn cứ để xác định giá trị bồi thường thiệt hại thực tế khi lập, thẩm định, phê duyệt phương án bồi thường, hỗ trợ, tái định cư khi Nhà nước thu hồi đất theo quy định pháp luật.</w:t>
            </w:r>
          </w:p>
          <w:p w14:paraId="4634D5FD" w14:textId="5D22E145" w:rsidR="00093E49" w:rsidRPr="005A609F" w:rsidRDefault="00093E49" w:rsidP="00093E49">
            <w:pPr>
              <w:spacing w:beforeLines="60" w:before="144" w:afterLines="60" w:after="144"/>
              <w:ind w:left="57" w:right="57" w:firstLine="284"/>
              <w:jc w:val="both"/>
              <w:rPr>
                <w:bCs/>
                <w:spacing w:val="2"/>
              </w:rPr>
            </w:pPr>
            <w:r w:rsidRPr="005A609F">
              <w:t>-</w:t>
            </w:r>
            <w:r w:rsidRPr="005A609F">
              <w:t xml:space="preserve"> Giá trị bồi thường thiệt hại thực tế về nhà, nhà ở, công trình xây dựng theo quy định tại </w:t>
            </w:r>
            <w:bookmarkStart w:id="4" w:name="dc_17"/>
            <w:r w:rsidRPr="005A609F">
              <w:t>khoản 1 và điểm a khoản 2 Điều 102 Luật Đất đai</w:t>
            </w:r>
            <w:bookmarkEnd w:id="4"/>
            <w:r w:rsidRPr="005A609F">
              <w:t xml:space="preserve"> được xác định theo công thức sau:</w:t>
            </w:r>
          </w:p>
          <w:p w14:paraId="74021696" w14:textId="77777777" w:rsidR="00093E49" w:rsidRPr="005A609F" w:rsidRDefault="00093E49" w:rsidP="00093E49">
            <w:pPr>
              <w:spacing w:before="120" w:after="120"/>
              <w:jc w:val="center"/>
            </w:pPr>
            <w:r w:rsidRPr="005A609F">
              <w:t>G</w:t>
            </w:r>
            <w:r w:rsidRPr="005A609F">
              <w:rPr>
                <w:vertAlign w:val="subscript"/>
              </w:rPr>
              <w:t>BT</w:t>
            </w:r>
            <w:r w:rsidRPr="005A609F">
              <w:t xml:space="preserve"> = ĐG</w:t>
            </w:r>
            <w:r w:rsidRPr="005A609F">
              <w:rPr>
                <w:vertAlign w:val="subscript"/>
              </w:rPr>
              <w:t>BT</w:t>
            </w:r>
            <w:r w:rsidRPr="005A609F">
              <w:t xml:space="preserve"> x KL</w:t>
            </w:r>
            <w:r w:rsidRPr="005A609F">
              <w:rPr>
                <w:vertAlign w:val="subscript"/>
              </w:rPr>
              <w:t>BT</w:t>
            </w:r>
            <w:r w:rsidRPr="005A609F">
              <w:t xml:space="preserve"> x K</w:t>
            </w:r>
            <w:r w:rsidRPr="005A609F">
              <w:rPr>
                <w:vertAlign w:val="subscript"/>
              </w:rPr>
              <w:t xml:space="preserve"> </w:t>
            </w:r>
            <w:r w:rsidRPr="005A609F">
              <w:t>x CSG</w:t>
            </w:r>
            <w:r w:rsidRPr="005A609F">
              <w:rPr>
                <w:vertAlign w:val="subscript"/>
              </w:rPr>
              <w:t>TT</w:t>
            </w:r>
            <w:r w:rsidRPr="005A609F">
              <w:t>/CSG</w:t>
            </w:r>
            <w:r w:rsidRPr="005A609F">
              <w:rPr>
                <w:vertAlign w:val="subscript"/>
              </w:rPr>
              <w:t>IV.2025</w:t>
            </w:r>
          </w:p>
          <w:p w14:paraId="0F2963DE" w14:textId="77777777" w:rsidR="00093E49" w:rsidRPr="005A609F" w:rsidRDefault="00093E49" w:rsidP="00093E49">
            <w:pPr>
              <w:spacing w:before="120" w:after="120"/>
              <w:ind w:firstLine="302"/>
              <w:jc w:val="both"/>
            </w:pPr>
            <w:r w:rsidRPr="005A609F">
              <w:t>Trong đó:</w:t>
            </w:r>
          </w:p>
          <w:p w14:paraId="4BD4A7EB" w14:textId="77777777" w:rsidR="00093E49" w:rsidRPr="005A609F" w:rsidRDefault="00093E49" w:rsidP="00093E49">
            <w:pPr>
              <w:spacing w:before="120" w:after="120"/>
              <w:ind w:firstLine="302"/>
              <w:jc w:val="both"/>
            </w:pPr>
            <w:r w:rsidRPr="005A609F">
              <w:t>G</w:t>
            </w:r>
            <w:r w:rsidRPr="005A609F">
              <w:rPr>
                <w:vertAlign w:val="subscript"/>
              </w:rPr>
              <w:t>BT</w:t>
            </w:r>
            <w:r w:rsidRPr="005A609F">
              <w:t>: Là giá trị bồi thường thiệt hại thực tế về nhà, nhà ở, công trình xây dựng trên đất, được xác định bằng giá trị xây dựng mới của nhà, nhà ở, công trình xây dựng có tiêu chuẩn kỹ thuật tương đương theo quy định của pháp luật về xây dựng tại thời điểm bồi thường.</w:t>
            </w:r>
          </w:p>
          <w:p w14:paraId="5CF0DFCE" w14:textId="77777777" w:rsidR="00093E49" w:rsidRPr="005A609F" w:rsidRDefault="00093E49" w:rsidP="00093E49">
            <w:pPr>
              <w:spacing w:before="120" w:after="120"/>
              <w:ind w:firstLine="302"/>
              <w:jc w:val="both"/>
            </w:pPr>
            <w:r w:rsidRPr="005A609F">
              <w:lastRenderedPageBreak/>
              <w:t>ĐG</w:t>
            </w:r>
            <w:r w:rsidRPr="005A609F">
              <w:rPr>
                <w:vertAlign w:val="subscript"/>
              </w:rPr>
              <w:t>BT</w:t>
            </w:r>
            <w:r w:rsidRPr="005A609F">
              <w:t>: Đơn giá bồi thường thiệt hại thực tế xác định theo Quy định ban hành kèm theo Quyết định này.</w:t>
            </w:r>
          </w:p>
          <w:p w14:paraId="54A0EC51" w14:textId="77777777" w:rsidR="00093E49" w:rsidRPr="005A609F" w:rsidRDefault="00093E49" w:rsidP="00093E49">
            <w:pPr>
              <w:spacing w:before="120" w:after="120"/>
              <w:ind w:firstLine="302"/>
              <w:jc w:val="both"/>
            </w:pPr>
            <w:r w:rsidRPr="005A609F">
              <w:t>KL</w:t>
            </w:r>
            <w:r w:rsidRPr="005A609F">
              <w:rPr>
                <w:vertAlign w:val="subscript"/>
              </w:rPr>
              <w:t>BT</w:t>
            </w:r>
            <w:r w:rsidRPr="005A609F">
              <w:t>: Khối lượng hạng mục/công tác được bồi thường tương ứng (tính theo: m; m</w:t>
            </w:r>
            <w:r w:rsidRPr="005A609F">
              <w:rPr>
                <w:vertAlign w:val="superscript"/>
              </w:rPr>
              <w:t>2</w:t>
            </w:r>
            <w:r w:rsidRPr="005A609F">
              <w:t>; m</w:t>
            </w:r>
            <w:r w:rsidRPr="005A609F">
              <w:rPr>
                <w:vertAlign w:val="superscript"/>
              </w:rPr>
              <w:t>3</w:t>
            </w:r>
            <w:r w:rsidRPr="005A609F">
              <w:t>; …).</w:t>
            </w:r>
          </w:p>
          <w:p w14:paraId="14B39448" w14:textId="77777777" w:rsidR="00093E49" w:rsidRPr="005A609F" w:rsidRDefault="00093E49" w:rsidP="00093E49">
            <w:pPr>
              <w:spacing w:before="120" w:after="120"/>
              <w:ind w:firstLine="302"/>
              <w:jc w:val="both"/>
            </w:pPr>
            <w:r w:rsidRPr="005A609F">
              <w:t>K: Hệ số khu vực được xác định theo địa bàn xã, phường được quy định chi tiết tại Phụ lục I ban hành kèm theo Quyết định này.</w:t>
            </w:r>
          </w:p>
          <w:p w14:paraId="56B84734" w14:textId="77777777" w:rsidR="00093E49" w:rsidRPr="005A609F" w:rsidRDefault="00093E49" w:rsidP="00093E49">
            <w:pPr>
              <w:spacing w:before="120" w:after="120"/>
              <w:ind w:firstLine="302"/>
              <w:jc w:val="both"/>
            </w:pPr>
            <w:r w:rsidRPr="005A609F">
              <w:t>CSG</w:t>
            </w:r>
            <w:r w:rsidRPr="005A609F">
              <w:rPr>
                <w:vertAlign w:val="subscript"/>
              </w:rPr>
              <w:t>TT</w:t>
            </w:r>
            <w:r w:rsidRPr="005A609F">
              <w:t>: Chỉ số giá xây dựng của khu vực xã, phường nơi có công trình bị thiệt hại do Sở Xây dựng công bố tại thời điểm lập phương án bồi thường, hỗ trợ, tái định cư. Trường hợp tại thời điểm lập phương án bồi thường chưa có chỉ số do Sở Xây dựng công bố thì áp dụng chỉ số giá xây dựng của quý liền kề trước đó đã được công bố.</w:t>
            </w:r>
          </w:p>
          <w:p w14:paraId="090132BE" w14:textId="77777777" w:rsidR="00093E49" w:rsidRPr="005A609F" w:rsidRDefault="00093E49" w:rsidP="00093E49">
            <w:pPr>
              <w:spacing w:before="120" w:after="120"/>
              <w:ind w:firstLine="302"/>
              <w:jc w:val="both"/>
            </w:pPr>
            <w:r w:rsidRPr="005A609F">
              <w:t>CSG</w:t>
            </w:r>
            <w:r w:rsidRPr="005A609F">
              <w:rPr>
                <w:vertAlign w:val="subscript"/>
              </w:rPr>
              <w:t>IV.2025</w:t>
            </w:r>
            <w:r w:rsidRPr="005A609F">
              <w:t>: Là chỉ số giá phần xây dựng tại thời điểm tính toán đơn giá (QuýIV/2025).</w:t>
            </w:r>
          </w:p>
          <w:p w14:paraId="0B85198F" w14:textId="25C5BB20" w:rsidR="00C719AE" w:rsidRPr="005A609F" w:rsidRDefault="00093E49" w:rsidP="00DB2636">
            <w:pPr>
              <w:spacing w:before="120" w:after="120"/>
              <w:ind w:firstLine="302"/>
              <w:jc w:val="both"/>
            </w:pPr>
            <w:r w:rsidRPr="005A609F">
              <w:t>-</w:t>
            </w:r>
            <w:r w:rsidRPr="005A609F">
              <w:t xml:space="preserve"> Đối với nhà, nhà ở, công trình xây dựng hoặc bộ phận, kết cấu xây dựng mà không có trong đơn giá hoặc có tên trong đơn giá nhưng không phù hợp với thực tế thì Tổ chức làm nhiệm vụ bồi thường giải phóng mặt bằng căn cứ vào đơn giá các công trình, hạng mục công việc tương đương và điều kiện cụ thể để vận dụng đơn giá cho phù hợp.</w:t>
            </w:r>
            <w:r w:rsidRPr="005A609F">
              <w:t xml:space="preserve"> </w:t>
            </w:r>
            <w:r w:rsidRPr="005A609F">
              <w:t>Trường hợp cần thiết, tiến hành khảo sát đo vẽ hiện trạng, xác định khối lượng thực tế, lập dự toán theo quy định hiện hành để làm cơ sở xác định giá trị bồi thường. Tổ chức làm nhiệm vụ bồi thường giải phóng mặt bằng được tự thực hiện nếu có đủ điều kiện năng lực hoặc thuê tổ chức tư vấn có năng lực, kinh nghiệm để thực hiện. Việc lựa chọn tổ chức tư vấn được thực hiện theo quy định của pháp luật.</w:t>
            </w:r>
          </w:p>
        </w:tc>
        <w:tc>
          <w:tcPr>
            <w:tcW w:w="1121" w:type="pct"/>
            <w:tcBorders>
              <w:top w:val="single" w:sz="4" w:space="0" w:color="auto"/>
              <w:left w:val="single" w:sz="4" w:space="0" w:color="auto"/>
              <w:bottom w:val="single" w:sz="4" w:space="0" w:color="auto"/>
              <w:right w:val="single" w:sz="4" w:space="0" w:color="auto"/>
            </w:tcBorders>
            <w:shd w:val="clear" w:color="auto" w:fill="FFFFFF"/>
          </w:tcPr>
          <w:p w14:paraId="0C32299E" w14:textId="53B1A978" w:rsidR="008C492A" w:rsidRPr="005A609F" w:rsidRDefault="006C2C8C" w:rsidP="008D6DAF">
            <w:pPr>
              <w:spacing w:beforeLines="60" w:before="144" w:afterLines="60" w:after="144"/>
              <w:ind w:firstLine="312"/>
              <w:jc w:val="both"/>
            </w:pPr>
            <w:r w:rsidRPr="005A609F">
              <w:rPr>
                <w:bCs/>
                <w:spacing w:val="-4"/>
              </w:rPr>
              <w:lastRenderedPageBreak/>
              <w:t>Tại điều 3</w:t>
            </w:r>
            <w:r w:rsidR="000C37B6" w:rsidRPr="005A609F">
              <w:rPr>
                <w:bCs/>
                <w:spacing w:val="-4"/>
              </w:rPr>
              <w:t xml:space="preserve"> dự thảo </w:t>
            </w:r>
            <w:r w:rsidR="00E2060A" w:rsidRPr="005A609F">
              <w:rPr>
                <w:bCs/>
                <w:spacing w:val="-4"/>
              </w:rPr>
              <w:t xml:space="preserve">Quy định </w:t>
            </w:r>
            <w:r w:rsidR="000C37B6" w:rsidRPr="005A609F">
              <w:rPr>
                <w:bCs/>
                <w:spacing w:val="-4"/>
              </w:rPr>
              <w:t xml:space="preserve">nhằm </w:t>
            </w:r>
            <w:r w:rsidR="000C37B6" w:rsidRPr="005A609F">
              <w:t>đảm bảo</w:t>
            </w:r>
            <w:r w:rsidR="00E2060A" w:rsidRPr="005A609F">
              <w:t xml:space="preserve"> </w:t>
            </w:r>
            <w:r w:rsidR="008D6DAF" w:rsidRPr="005A609F">
              <w:t xml:space="preserve">các nguyên tắc áp dụng, công thức tính toán đơn giá bồi thường </w:t>
            </w:r>
            <w:r w:rsidR="008D6DAF" w:rsidRPr="005A609F">
              <w:t>thiệt hại thực tế về nhà, nhà ở, công trình xây dựng; mức bồi thường chi phí di chuyển tài sản; mức bồi thường, hỗ trợ do phải di dời mồ mả; mức hỗ trợ để tháo dỡ, phá dỡ, di dời tài sản gắn liền với đất</w:t>
            </w:r>
            <w:r w:rsidR="00C778A8" w:rsidRPr="005A609F">
              <w:t>.</w:t>
            </w:r>
            <w:r w:rsidR="008D6DAF" w:rsidRPr="005A609F">
              <w:t xml:space="preserve"> Trong trường hợp </w:t>
            </w:r>
            <w:r w:rsidR="008D6DAF" w:rsidRPr="005A609F">
              <w:t>nhà, nhà ở, công trình xây dựng hoặc bộ phận, kết cấu xây dựng mà không có trong đơn giá hoặc có tên trong đơn giá nhưng không phù hợp với thực t</w:t>
            </w:r>
            <w:r w:rsidR="008D6DAF" w:rsidRPr="005A609F">
              <w:t>ế thì các cơ quan, t</w:t>
            </w:r>
            <w:r w:rsidR="008D6DAF" w:rsidRPr="005A609F">
              <w:t>ổ chức làm nhiệm vụ bồi thường giải phóng mặt bằng được tự thực hiện nếu có đủ điều kiện năng lực hoặc thuê tổ chức tư vấn có năng lực, kinh nghiệm để thực hiện</w:t>
            </w:r>
            <w:r w:rsidR="008D6DAF" w:rsidRPr="005A609F">
              <w:t xml:space="preserve"> có thể xác định lại </w:t>
            </w:r>
            <w:r w:rsidR="008D6DAF" w:rsidRPr="005A609F">
              <w:lastRenderedPageBreak/>
              <w:t xml:space="preserve">giá trị bồi thường </w:t>
            </w:r>
            <w:r w:rsidR="008D6DAF" w:rsidRPr="005A609F">
              <w:t>trong trường hợp cần thiết</w:t>
            </w:r>
            <w:r w:rsidR="008D6DAF" w:rsidRPr="005A609F">
              <w:t xml:space="preserve">. </w:t>
            </w:r>
            <w:r w:rsidR="008D6DAF" w:rsidRPr="005A609F">
              <w:t>Quy định này nhằm bảo đảm việc áp dụng đơn giá bồi thường linh hoạt, phù hợp với thực tế phát sinh, đáp ứng yêu cầu quản lý và tổ chức thực hiện đối với từng trường hợp cụ thể.</w:t>
            </w:r>
          </w:p>
        </w:tc>
      </w:tr>
      <w:tr w:rsidR="00134546" w:rsidRPr="005A609F" w14:paraId="528BC2F0" w14:textId="77777777" w:rsidTr="005A609F">
        <w:trPr>
          <w:trHeight w:val="20"/>
        </w:trPr>
        <w:tc>
          <w:tcPr>
            <w:tcW w:w="1218" w:type="pct"/>
            <w:tcBorders>
              <w:top w:val="single" w:sz="4" w:space="0" w:color="auto"/>
              <w:left w:val="single" w:sz="4" w:space="0" w:color="auto"/>
              <w:bottom w:val="single" w:sz="4" w:space="0" w:color="auto"/>
              <w:right w:val="nil"/>
            </w:tcBorders>
            <w:shd w:val="clear" w:color="auto" w:fill="FFFFFF"/>
          </w:tcPr>
          <w:p w14:paraId="3E32FC49" w14:textId="77777777" w:rsidR="00DE3FA8" w:rsidRPr="005A609F" w:rsidRDefault="00DE3FA8" w:rsidP="00DE3FA8">
            <w:pPr>
              <w:shd w:val="clear" w:color="auto" w:fill="FFFFFF"/>
              <w:spacing w:before="60" w:after="60"/>
              <w:ind w:firstLine="306"/>
              <w:jc w:val="both"/>
              <w:textAlignment w:val="baseline"/>
              <w:rPr>
                <w:i/>
              </w:rPr>
            </w:pPr>
            <w:r w:rsidRPr="005A609F">
              <w:lastRenderedPageBreak/>
              <w:t xml:space="preserve">Tại điểm a và điểm d khoản 1 Điều 14. Bồi thường thiệt hại về nhà, công trình xây dựng gắn liền với đất khi Nhà nước thu hồi đất tại Nghị định số 88/2024/NĐ-CP ngày 15/7/2024 của Chính phủ quy định về bồi thường, hỗ trợ, tái định cư khi </w:t>
            </w:r>
            <w:r w:rsidRPr="005A609F">
              <w:lastRenderedPageBreak/>
              <w:t>Nhà nước thu hồi đất, quy định “</w:t>
            </w:r>
            <w:r w:rsidRPr="005A609F">
              <w:rPr>
                <w:i/>
              </w:rPr>
              <w:t xml:space="preserve">a)... Khoản tiền tính bằng tỷ lệ phần trăm theo giá trị hiện có của nhà, công trình xây dựng do </w:t>
            </w:r>
            <w:r w:rsidRPr="005A609F">
              <w:rPr>
                <w:b/>
                <w:i/>
              </w:rPr>
              <w:t>Ủy ban nhân dân cấp tỉnh quy định</w:t>
            </w:r>
            <w:r w:rsidRPr="005A609F">
              <w:rPr>
                <w:i/>
              </w:rPr>
              <w:t xml:space="preserve">, nhưng mức bồi thường không quá 100% giá trị xây dựng mới của nhà, công trình xây dựng có tiêu chuẩn kỹ thuật tương đương với nhà, công trình xây dựng bị thiệt hại; d) Đối với nhà, công trình xây dựng không đủ tiêu chuẩn kỹ thuật theo quy định của pháp luật chuyên ngành thì </w:t>
            </w:r>
            <w:r w:rsidRPr="005A609F">
              <w:rPr>
                <w:b/>
                <w:i/>
              </w:rPr>
              <w:t>Ủy ban nhân dân cấp tỉnh quy định</w:t>
            </w:r>
            <w:r w:rsidRPr="005A609F">
              <w:rPr>
                <w:i/>
              </w:rPr>
              <w:t xml:space="preserve"> mức bồi thường cụ thể cho phù hợp với điều kiện thực tế tại địa phương”.</w:t>
            </w:r>
          </w:p>
          <w:p w14:paraId="45A256B2" w14:textId="7986D0D0" w:rsidR="00C05A9A" w:rsidRPr="005A609F" w:rsidRDefault="00DE3FA8" w:rsidP="00DE3FA8">
            <w:pPr>
              <w:shd w:val="clear" w:color="auto" w:fill="FFFFFF"/>
              <w:spacing w:before="60" w:after="60"/>
              <w:ind w:firstLine="306"/>
              <w:jc w:val="both"/>
              <w:textAlignment w:val="baseline"/>
            </w:pPr>
            <w:r w:rsidRPr="005A609F">
              <w:rPr>
                <w:iCs/>
              </w:rPr>
              <w:t xml:space="preserve">Tại </w:t>
            </w:r>
            <w:r w:rsidRPr="005A609F">
              <w:t xml:space="preserve">khoản 2 Điều 15. Bồi thường, hỗ trợ do phải di dời mồ mả khi Nhà nước thu hồi đất tại Nghị định số 88/2024/NĐ-CP ngày 15 /7/2024 của Chính phủ quy định về bồi thường, hỗ trợ, tái định cư khi Nhà nước thu hồi đất quy định “ </w:t>
            </w:r>
            <w:r w:rsidRPr="005A609F">
              <w:rPr>
                <w:i/>
              </w:rPr>
              <w:t>Ủy ban nhân dân cấp tỉnh quy định mức bồi thường, hỗ trợ tại khoản này phù hợp với tập quán và thực tế tại địa phương”</w:t>
            </w:r>
            <w:r w:rsidRPr="005A609F">
              <w:t>.</w:t>
            </w:r>
          </w:p>
        </w:tc>
        <w:tc>
          <w:tcPr>
            <w:tcW w:w="2661" w:type="pct"/>
            <w:tcBorders>
              <w:top w:val="single" w:sz="4" w:space="0" w:color="auto"/>
              <w:left w:val="single" w:sz="4" w:space="0" w:color="auto"/>
              <w:bottom w:val="single" w:sz="4" w:space="0" w:color="auto"/>
              <w:right w:val="nil"/>
            </w:tcBorders>
            <w:shd w:val="clear" w:color="auto" w:fill="FFFFFF"/>
          </w:tcPr>
          <w:p w14:paraId="49B538F2" w14:textId="77777777" w:rsidR="008D6DAF" w:rsidRPr="005A609F" w:rsidRDefault="008D6DAF" w:rsidP="008D6DAF">
            <w:pPr>
              <w:spacing w:before="120" w:after="120"/>
              <w:ind w:firstLine="720"/>
              <w:jc w:val="both"/>
            </w:pPr>
            <w:r w:rsidRPr="005A609F">
              <w:lastRenderedPageBreak/>
              <w:t>2. Tính toán xác định các chỉ số cụ thể:</w:t>
            </w:r>
          </w:p>
          <w:p w14:paraId="4856893C" w14:textId="19C78B8B" w:rsidR="008D6DAF" w:rsidRPr="005A609F" w:rsidRDefault="008D6DAF" w:rsidP="008D6DAF">
            <w:pPr>
              <w:spacing w:before="120" w:after="120"/>
              <w:ind w:firstLine="720"/>
              <w:jc w:val="both"/>
            </w:pPr>
            <w:r w:rsidRPr="005A609F">
              <w:t>(1) Hệ số</w:t>
            </w:r>
            <w:r w:rsidR="00D4511B" w:rsidRPr="005A609F">
              <w:t xml:space="preserve"> điều chỉnh</w:t>
            </w:r>
            <w:r w:rsidRPr="005A609F">
              <w:t xml:space="preserve"> khu vực K (Phụ lục I).</w:t>
            </w:r>
          </w:p>
          <w:p w14:paraId="3ADB9D29" w14:textId="551AF2EB" w:rsidR="008D6DAF" w:rsidRPr="005A609F" w:rsidRDefault="008D6DAF" w:rsidP="008D6DAF">
            <w:pPr>
              <w:spacing w:before="120" w:after="120"/>
              <w:ind w:firstLine="720"/>
              <w:jc w:val="both"/>
            </w:pPr>
            <w:r w:rsidRPr="005A609F">
              <w:t xml:space="preserve">(2) </w:t>
            </w:r>
            <w:r w:rsidR="00DB2636" w:rsidRPr="005A609F">
              <w:t>Đ</w:t>
            </w:r>
            <w:r w:rsidRPr="005A609F">
              <w:t>ơn giá bồi thường thiệt hại thực tế về nhà, nhà ở, công trình xây dựng gắn liền với đất khi Nhà nước thu hồi đất (Phụ lục II).</w:t>
            </w:r>
          </w:p>
          <w:p w14:paraId="162909FC" w14:textId="5AA4C019" w:rsidR="008D6DAF" w:rsidRPr="005A609F" w:rsidRDefault="008D6DAF" w:rsidP="008D6DAF">
            <w:pPr>
              <w:spacing w:before="120" w:after="120"/>
              <w:ind w:firstLine="720"/>
              <w:jc w:val="both"/>
            </w:pPr>
            <w:r w:rsidRPr="005A609F">
              <w:lastRenderedPageBreak/>
              <w:t>(3) Mức bồi thường chi phí di chuyển tài sản khi Nhà nước thu hồi đất (Phụ lục III)</w:t>
            </w:r>
            <w:r w:rsidR="00A21016" w:rsidRPr="005A609F">
              <w:t>.</w:t>
            </w:r>
          </w:p>
          <w:p w14:paraId="4014B14A" w14:textId="7D6A528C" w:rsidR="00DB2636" w:rsidRPr="005A609F" w:rsidRDefault="00DB2636" w:rsidP="008D6DAF">
            <w:pPr>
              <w:spacing w:before="120" w:after="120"/>
              <w:ind w:firstLine="720"/>
              <w:jc w:val="both"/>
            </w:pPr>
            <w:r w:rsidRPr="005A609F">
              <w:t>(4) Bồi thường, hỗ trợ do phải di dời mồ mả khi Nhà nước thu hồi đất (Phụ lục IV)</w:t>
            </w:r>
            <w:r w:rsidR="00A21016" w:rsidRPr="005A609F">
              <w:t>.</w:t>
            </w:r>
          </w:p>
          <w:p w14:paraId="132DC763" w14:textId="77777777" w:rsidR="00EF785C" w:rsidRPr="005A609F" w:rsidRDefault="00EF785C" w:rsidP="00B52919">
            <w:pPr>
              <w:spacing w:beforeLines="60" w:before="144" w:afterLines="60" w:after="144"/>
              <w:ind w:firstLine="720"/>
              <w:jc w:val="center"/>
              <w:rPr>
                <w:bCs/>
                <w:spacing w:val="2"/>
              </w:rPr>
            </w:pPr>
          </w:p>
          <w:p w14:paraId="7FE4C613" w14:textId="71C6811D" w:rsidR="00686E4E" w:rsidRPr="005A609F" w:rsidRDefault="00686E4E" w:rsidP="00B52919">
            <w:pPr>
              <w:pStyle w:val="NormalWeb"/>
              <w:shd w:val="clear" w:color="auto" w:fill="FFFFFF"/>
              <w:spacing w:beforeLines="60" w:before="144" w:beforeAutospacing="0" w:afterLines="60" w:after="144" w:afterAutospacing="0"/>
              <w:ind w:left="57" w:firstLine="720"/>
              <w:jc w:val="both"/>
              <w:rPr>
                <w:rFonts w:eastAsia="Microsoft Sans Serif"/>
                <w:bCs/>
                <w:spacing w:val="2"/>
                <w:lang w:eastAsia="vi-VN"/>
              </w:rPr>
            </w:pPr>
          </w:p>
        </w:tc>
        <w:tc>
          <w:tcPr>
            <w:tcW w:w="1121" w:type="pct"/>
            <w:tcBorders>
              <w:top w:val="single" w:sz="4" w:space="0" w:color="auto"/>
              <w:left w:val="single" w:sz="4" w:space="0" w:color="auto"/>
              <w:bottom w:val="single" w:sz="4" w:space="0" w:color="auto"/>
              <w:right w:val="single" w:sz="4" w:space="0" w:color="auto"/>
            </w:tcBorders>
            <w:shd w:val="clear" w:color="auto" w:fill="FFFFFF"/>
          </w:tcPr>
          <w:p w14:paraId="183CABE1" w14:textId="77777777" w:rsidR="007C64DE" w:rsidRPr="005A609F" w:rsidRDefault="00CD50DD" w:rsidP="00B52919">
            <w:pPr>
              <w:spacing w:beforeLines="60" w:before="144" w:afterLines="60" w:after="144"/>
              <w:ind w:left="57" w:right="57" w:firstLine="284"/>
              <w:jc w:val="both"/>
              <w:rPr>
                <w:bCs/>
                <w:spacing w:val="-4"/>
              </w:rPr>
            </w:pPr>
            <w:r w:rsidRPr="005A609F">
              <w:rPr>
                <w:bCs/>
                <w:spacing w:val="-4"/>
              </w:rPr>
              <w:lastRenderedPageBreak/>
              <w:t xml:space="preserve">Tại </w:t>
            </w:r>
            <w:r w:rsidR="00E809CC" w:rsidRPr="005A609F">
              <w:rPr>
                <w:bCs/>
                <w:spacing w:val="-4"/>
              </w:rPr>
              <w:t xml:space="preserve">Điều 3 dự thảo Quy định bổ sung hệ số điều chỉnh theo khu vực (hệ số K) nhằm phản ánh sự khác biệt về chi phí xây dựng giữa các địa bàn phường, xã. Việc áp dụng hệ số này căn cứ vào các yếu tố đặc thù của từng </w:t>
            </w:r>
            <w:r w:rsidR="00E809CC" w:rsidRPr="005A609F">
              <w:rPr>
                <w:bCs/>
                <w:spacing w:val="-4"/>
              </w:rPr>
              <w:lastRenderedPageBreak/>
              <w:t>khu vực như giá vật liệu, chi phí nhân công, giá ca máy và điều kiện thi công tại địa phương, qua đó bảo đảm đơn giá bồi thường phù hợp với mặt bằng chi phí thực tế.</w:t>
            </w:r>
          </w:p>
          <w:p w14:paraId="101311B8" w14:textId="77777777" w:rsidR="001A3391" w:rsidRPr="005A609F" w:rsidRDefault="001A3391" w:rsidP="001A3391">
            <w:pPr>
              <w:spacing w:beforeLines="60" w:before="144" w:afterLines="60" w:after="144"/>
              <w:ind w:left="57" w:right="57" w:firstLine="284"/>
              <w:jc w:val="both"/>
              <w:rPr>
                <w:bCs/>
                <w:spacing w:val="-4"/>
              </w:rPr>
            </w:pPr>
            <w:r w:rsidRPr="005A609F">
              <w:rPr>
                <w:bCs/>
                <w:spacing w:val="-4"/>
              </w:rPr>
              <w:t>Tại Điều 4 dự thảo Quy định, tính toán cụ thể đ</w:t>
            </w:r>
            <w:r w:rsidRPr="005A609F">
              <w:rPr>
                <w:bCs/>
                <w:spacing w:val="-4"/>
              </w:rPr>
              <w:t>ơn giá bồi thường thiệt hại thực tế về nhà, nhà ở và các công trình xây dựng là đơn giá xây dựng mới của công trình có dạng kết cấu thường gặp (hoặc đơn giá của bộ phận, kết cấu xây dựng, công tác xây dựng), được xây dựng theo quy trình, công nghệ thi công phổ biến và sử dụng các loại vật liệu thông dụng có trên thị trường</w:t>
            </w:r>
            <w:r w:rsidRPr="005A609F">
              <w:rPr>
                <w:bCs/>
                <w:spacing w:val="-4"/>
              </w:rPr>
              <w:t>.</w:t>
            </w:r>
          </w:p>
          <w:p w14:paraId="64438D1A" w14:textId="77777777" w:rsidR="001A3391" w:rsidRPr="005A609F" w:rsidRDefault="001A3391" w:rsidP="001A3391">
            <w:pPr>
              <w:spacing w:beforeLines="60" w:before="144" w:afterLines="60" w:after="144"/>
              <w:ind w:left="57" w:right="57" w:firstLine="284"/>
              <w:jc w:val="both"/>
              <w:rPr>
                <w:bCs/>
                <w:spacing w:val="-4"/>
              </w:rPr>
            </w:pPr>
            <w:r w:rsidRPr="005A609F">
              <w:rPr>
                <w:bCs/>
                <w:spacing w:val="-4"/>
              </w:rPr>
              <w:t>Tại Điều 8 dự thảo quy định m</w:t>
            </w:r>
            <w:r w:rsidRPr="005A609F">
              <w:rPr>
                <w:bCs/>
                <w:spacing w:val="-4"/>
              </w:rPr>
              <w:t>ức bồi thường chi phí di chuyển tài sản khi Nhà nước thu hồi đất</w:t>
            </w:r>
            <w:r w:rsidRPr="005A609F">
              <w:rPr>
                <w:bCs/>
                <w:spacing w:val="-4"/>
              </w:rPr>
              <w:t>; trong đó quy định về m</w:t>
            </w:r>
            <w:r w:rsidRPr="005A609F">
              <w:rPr>
                <w:bCs/>
                <w:spacing w:val="-4"/>
              </w:rPr>
              <w:t>ức bồi thường chi phí tháo dỡ, di chuyển, lắp đặt các thiết bị</w:t>
            </w:r>
            <w:r w:rsidRPr="005A609F">
              <w:rPr>
                <w:bCs/>
                <w:spacing w:val="-4"/>
              </w:rPr>
              <w:t xml:space="preserve"> và mức bồi thường 01 lần đối với các tài sản không có trong danh mục Phụ lục III ban hành kèm theo quyết định.</w:t>
            </w:r>
          </w:p>
          <w:p w14:paraId="068FB7D3" w14:textId="63EF29B4" w:rsidR="001A3391" w:rsidRPr="005A609F" w:rsidRDefault="001A3391" w:rsidP="001A3391">
            <w:pPr>
              <w:spacing w:beforeLines="60" w:before="144" w:afterLines="60" w:after="144"/>
              <w:ind w:left="57" w:right="57" w:firstLine="284"/>
              <w:jc w:val="both"/>
              <w:rPr>
                <w:bCs/>
                <w:spacing w:val="-4"/>
              </w:rPr>
            </w:pPr>
            <w:r w:rsidRPr="005A609F">
              <w:rPr>
                <w:bCs/>
                <w:spacing w:val="-4"/>
              </w:rPr>
              <w:t xml:space="preserve">Tại </w:t>
            </w:r>
            <w:r w:rsidRPr="005A609F">
              <w:rPr>
                <w:bCs/>
                <w:spacing w:val="-4"/>
              </w:rPr>
              <w:t xml:space="preserve">Điều 9 dự thảo Quy định quy định mức bồi thường, hỗ trợ khi phải di dời mồ mả do Nhà </w:t>
            </w:r>
            <w:r w:rsidRPr="005A609F">
              <w:rPr>
                <w:bCs/>
                <w:spacing w:val="-4"/>
              </w:rPr>
              <w:lastRenderedPageBreak/>
              <w:t>nước thu hồi đất, nhằm bảo đảm điều kiện thực hiện việc di dời, cải táng phù hợp với tín ngưỡng, phong tục, tập quán của người dân, góp phần ổn định đời sống và tạo sự đồng thuận trong quá trình thực hiện.</w:t>
            </w:r>
          </w:p>
        </w:tc>
      </w:tr>
    </w:tbl>
    <w:p w14:paraId="0154D7BF" w14:textId="22D27A1A" w:rsidR="00851943" w:rsidRPr="005A609F" w:rsidRDefault="00851943" w:rsidP="00B52919">
      <w:pPr>
        <w:spacing w:beforeLines="60" w:before="144" w:afterLines="60" w:after="144"/>
        <w:rPr>
          <w:sz w:val="28"/>
          <w:szCs w:val="28"/>
        </w:rPr>
      </w:pPr>
    </w:p>
    <w:sectPr w:rsidR="00851943" w:rsidRPr="005A609F" w:rsidSect="00AC085F">
      <w:headerReference w:type="default" r:id="rId7"/>
      <w:pgSz w:w="16840" w:h="11907" w:orient="landscape" w:code="9"/>
      <w:pgMar w:top="1134" w:right="851" w:bottom="851" w:left="1134"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7A4D64" w14:textId="77777777" w:rsidR="007F5004" w:rsidRDefault="007F5004" w:rsidP="00AC085F">
      <w:r>
        <w:separator/>
      </w:r>
    </w:p>
  </w:endnote>
  <w:endnote w:type="continuationSeparator" w:id="0">
    <w:p w14:paraId="51278095" w14:textId="77777777" w:rsidR="007F5004" w:rsidRDefault="007F5004" w:rsidP="00AC08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52F37E" w14:textId="77777777" w:rsidR="007F5004" w:rsidRDefault="007F5004" w:rsidP="00AC085F">
      <w:r>
        <w:separator/>
      </w:r>
    </w:p>
  </w:footnote>
  <w:footnote w:type="continuationSeparator" w:id="0">
    <w:p w14:paraId="0D56A2F4" w14:textId="77777777" w:rsidR="007F5004" w:rsidRDefault="007F5004" w:rsidP="00AC08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271280064"/>
      <w:docPartObj>
        <w:docPartGallery w:val="Page Numbers (Top of Page)"/>
        <w:docPartUnique/>
      </w:docPartObj>
    </w:sdtPr>
    <w:sdtEndPr>
      <w:rPr>
        <w:noProof/>
      </w:rPr>
    </w:sdtEndPr>
    <w:sdtContent>
      <w:p w14:paraId="34D5371C" w14:textId="62581A4F" w:rsidR="00AC085F" w:rsidRPr="00AC085F" w:rsidRDefault="00AC085F">
        <w:pPr>
          <w:pStyle w:val="Header"/>
          <w:jc w:val="center"/>
          <w:rPr>
            <w:rFonts w:ascii="Times New Roman" w:hAnsi="Times New Roman" w:cs="Times New Roman"/>
          </w:rPr>
        </w:pPr>
        <w:r w:rsidRPr="00AC085F">
          <w:rPr>
            <w:rFonts w:ascii="Times New Roman" w:hAnsi="Times New Roman" w:cs="Times New Roman"/>
          </w:rPr>
          <w:fldChar w:fldCharType="begin"/>
        </w:r>
        <w:r w:rsidRPr="00AC085F">
          <w:rPr>
            <w:rFonts w:ascii="Times New Roman" w:hAnsi="Times New Roman" w:cs="Times New Roman"/>
          </w:rPr>
          <w:instrText xml:space="preserve"> PAGE   \* MERGEFORMAT </w:instrText>
        </w:r>
        <w:r w:rsidRPr="00AC085F">
          <w:rPr>
            <w:rFonts w:ascii="Times New Roman" w:hAnsi="Times New Roman" w:cs="Times New Roman"/>
          </w:rPr>
          <w:fldChar w:fldCharType="separate"/>
        </w:r>
        <w:r w:rsidRPr="00AC085F">
          <w:rPr>
            <w:rFonts w:ascii="Times New Roman" w:hAnsi="Times New Roman" w:cs="Times New Roman"/>
            <w:noProof/>
          </w:rPr>
          <w:t>2</w:t>
        </w:r>
        <w:r w:rsidRPr="00AC085F">
          <w:rPr>
            <w:rFonts w:ascii="Times New Roman" w:hAnsi="Times New Roman" w:cs="Times New Roman"/>
            <w:noProof/>
          </w:rPr>
          <w:fldChar w:fldCharType="end"/>
        </w:r>
      </w:p>
    </w:sdtContent>
  </w:sdt>
  <w:p w14:paraId="74825967" w14:textId="77777777" w:rsidR="00AC085F" w:rsidRPr="00AC085F" w:rsidRDefault="00AC085F">
    <w:pPr>
      <w:pStyle w:val="Header"/>
      <w:rPr>
        <w:rFonts w:ascii="Times New Roman" w:hAnsi="Times New Roman"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134"/>
    <w:rsid w:val="00006B23"/>
    <w:rsid w:val="00030968"/>
    <w:rsid w:val="00053A77"/>
    <w:rsid w:val="00087834"/>
    <w:rsid w:val="00093E49"/>
    <w:rsid w:val="000C37B6"/>
    <w:rsid w:val="000F053C"/>
    <w:rsid w:val="00134546"/>
    <w:rsid w:val="00171F32"/>
    <w:rsid w:val="00174847"/>
    <w:rsid w:val="001832A7"/>
    <w:rsid w:val="001976FC"/>
    <w:rsid w:val="001A3391"/>
    <w:rsid w:val="001A5684"/>
    <w:rsid w:val="001C4E2C"/>
    <w:rsid w:val="0023180C"/>
    <w:rsid w:val="002B3F17"/>
    <w:rsid w:val="002E71B9"/>
    <w:rsid w:val="003029FB"/>
    <w:rsid w:val="00314E15"/>
    <w:rsid w:val="003348A9"/>
    <w:rsid w:val="00395A27"/>
    <w:rsid w:val="003D0EFD"/>
    <w:rsid w:val="00482181"/>
    <w:rsid w:val="004A5A12"/>
    <w:rsid w:val="004B0B6C"/>
    <w:rsid w:val="004D747F"/>
    <w:rsid w:val="004E44A6"/>
    <w:rsid w:val="00505A41"/>
    <w:rsid w:val="00552662"/>
    <w:rsid w:val="00592042"/>
    <w:rsid w:val="005A609F"/>
    <w:rsid w:val="005B422B"/>
    <w:rsid w:val="005E0B4D"/>
    <w:rsid w:val="005F7565"/>
    <w:rsid w:val="006259B5"/>
    <w:rsid w:val="00686E4E"/>
    <w:rsid w:val="00690B12"/>
    <w:rsid w:val="006A1E08"/>
    <w:rsid w:val="006C2C8C"/>
    <w:rsid w:val="006C4664"/>
    <w:rsid w:val="00710E5B"/>
    <w:rsid w:val="00735A77"/>
    <w:rsid w:val="007A715D"/>
    <w:rsid w:val="007C64DE"/>
    <w:rsid w:val="007C73D8"/>
    <w:rsid w:val="007D57B1"/>
    <w:rsid w:val="007E3EEC"/>
    <w:rsid w:val="007E7746"/>
    <w:rsid w:val="007F5004"/>
    <w:rsid w:val="00851943"/>
    <w:rsid w:val="008B71EB"/>
    <w:rsid w:val="008C07B0"/>
    <w:rsid w:val="008C492A"/>
    <w:rsid w:val="008D6DAF"/>
    <w:rsid w:val="008E142C"/>
    <w:rsid w:val="008E33CA"/>
    <w:rsid w:val="008F2B4E"/>
    <w:rsid w:val="008F4B5E"/>
    <w:rsid w:val="00901D9E"/>
    <w:rsid w:val="00970144"/>
    <w:rsid w:val="00993FBF"/>
    <w:rsid w:val="009C4D1D"/>
    <w:rsid w:val="00A21016"/>
    <w:rsid w:val="00A362E5"/>
    <w:rsid w:val="00A62EAA"/>
    <w:rsid w:val="00A878E4"/>
    <w:rsid w:val="00AB1EE1"/>
    <w:rsid w:val="00AC085F"/>
    <w:rsid w:val="00AD03C6"/>
    <w:rsid w:val="00AE7FF4"/>
    <w:rsid w:val="00B52919"/>
    <w:rsid w:val="00B90D84"/>
    <w:rsid w:val="00BB05FE"/>
    <w:rsid w:val="00BC7B94"/>
    <w:rsid w:val="00BD23DE"/>
    <w:rsid w:val="00C0205E"/>
    <w:rsid w:val="00C05A9A"/>
    <w:rsid w:val="00C42C42"/>
    <w:rsid w:val="00C663DA"/>
    <w:rsid w:val="00C719AE"/>
    <w:rsid w:val="00C757AA"/>
    <w:rsid w:val="00C778A8"/>
    <w:rsid w:val="00C862D3"/>
    <w:rsid w:val="00CA4134"/>
    <w:rsid w:val="00CD50DD"/>
    <w:rsid w:val="00CE4181"/>
    <w:rsid w:val="00D41FB1"/>
    <w:rsid w:val="00D443DC"/>
    <w:rsid w:val="00D4511B"/>
    <w:rsid w:val="00DA4AA3"/>
    <w:rsid w:val="00DB2636"/>
    <w:rsid w:val="00DC1A81"/>
    <w:rsid w:val="00DE3FA8"/>
    <w:rsid w:val="00DF29F0"/>
    <w:rsid w:val="00E2060A"/>
    <w:rsid w:val="00E52502"/>
    <w:rsid w:val="00E809CC"/>
    <w:rsid w:val="00EA7D4B"/>
    <w:rsid w:val="00ED50D5"/>
    <w:rsid w:val="00EF785C"/>
    <w:rsid w:val="00F0532E"/>
    <w:rsid w:val="00F228AD"/>
    <w:rsid w:val="00F434C8"/>
    <w:rsid w:val="00F5756F"/>
    <w:rsid w:val="00FB3039"/>
    <w:rsid w:val="00FD16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13B13"/>
  <w15:chartTrackingRefBased/>
  <w15:docId w15:val="{C53E0760-84FA-4D86-8C5D-CBBD39311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37B6"/>
    <w:pPr>
      <w:spacing w:after="0" w:line="240" w:lineRule="auto"/>
    </w:pPr>
    <w:rPr>
      <w:rFonts w:eastAsia="Times New Roman" w:cs="Times New Roman"/>
      <w:kern w:val="0"/>
      <w:sz w:val="24"/>
      <w:szCs w:val="24"/>
      <w14:ligatures w14:val="none"/>
    </w:rPr>
  </w:style>
  <w:style w:type="paragraph" w:styleId="Heading1">
    <w:name w:val="heading 1"/>
    <w:basedOn w:val="Normal"/>
    <w:next w:val="Normal"/>
    <w:link w:val="Heading1Char"/>
    <w:uiPriority w:val="9"/>
    <w:qFormat/>
    <w:rsid w:val="00CA4134"/>
    <w:pPr>
      <w:keepNext/>
      <w:keepLines/>
      <w:widowControl w:val="0"/>
      <w:spacing w:before="360" w:after="80"/>
      <w:outlineLvl w:val="0"/>
    </w:pPr>
    <w:rPr>
      <w:rFonts w:asciiTheme="majorHAnsi" w:eastAsiaTheme="majorEastAsia" w:hAnsiTheme="majorHAnsi" w:cstheme="majorBidi"/>
      <w:color w:val="0F4761" w:themeColor="accent1" w:themeShade="BF"/>
      <w:sz w:val="40"/>
      <w:szCs w:val="40"/>
      <w:lang w:val="vi-VN" w:eastAsia="vi-VN"/>
    </w:rPr>
  </w:style>
  <w:style w:type="paragraph" w:styleId="Heading2">
    <w:name w:val="heading 2"/>
    <w:basedOn w:val="Normal"/>
    <w:next w:val="Normal"/>
    <w:link w:val="Heading2Char"/>
    <w:uiPriority w:val="9"/>
    <w:semiHidden/>
    <w:unhideWhenUsed/>
    <w:qFormat/>
    <w:rsid w:val="00CA4134"/>
    <w:pPr>
      <w:keepNext/>
      <w:keepLines/>
      <w:widowControl w:val="0"/>
      <w:spacing w:before="160" w:after="80"/>
      <w:outlineLvl w:val="1"/>
    </w:pPr>
    <w:rPr>
      <w:rFonts w:asciiTheme="majorHAnsi" w:eastAsiaTheme="majorEastAsia" w:hAnsiTheme="majorHAnsi" w:cstheme="majorBidi"/>
      <w:color w:val="0F4761" w:themeColor="accent1" w:themeShade="BF"/>
      <w:sz w:val="32"/>
      <w:szCs w:val="32"/>
      <w:lang w:val="vi-VN" w:eastAsia="vi-VN"/>
    </w:rPr>
  </w:style>
  <w:style w:type="paragraph" w:styleId="Heading3">
    <w:name w:val="heading 3"/>
    <w:basedOn w:val="Normal"/>
    <w:next w:val="Normal"/>
    <w:link w:val="Heading3Char"/>
    <w:uiPriority w:val="9"/>
    <w:semiHidden/>
    <w:unhideWhenUsed/>
    <w:qFormat/>
    <w:rsid w:val="00CA4134"/>
    <w:pPr>
      <w:keepNext/>
      <w:keepLines/>
      <w:widowControl w:val="0"/>
      <w:spacing w:before="160" w:after="80"/>
      <w:outlineLvl w:val="2"/>
    </w:pPr>
    <w:rPr>
      <w:rFonts w:asciiTheme="minorHAnsi" w:eastAsiaTheme="majorEastAsia" w:hAnsiTheme="minorHAnsi" w:cstheme="majorBidi"/>
      <w:color w:val="0F4761" w:themeColor="accent1" w:themeShade="BF"/>
      <w:szCs w:val="28"/>
      <w:lang w:val="vi-VN" w:eastAsia="vi-VN"/>
    </w:rPr>
  </w:style>
  <w:style w:type="paragraph" w:styleId="Heading4">
    <w:name w:val="heading 4"/>
    <w:basedOn w:val="Normal"/>
    <w:next w:val="Normal"/>
    <w:link w:val="Heading4Char"/>
    <w:uiPriority w:val="9"/>
    <w:semiHidden/>
    <w:unhideWhenUsed/>
    <w:qFormat/>
    <w:rsid w:val="00CA4134"/>
    <w:pPr>
      <w:keepNext/>
      <w:keepLines/>
      <w:widowControl w:val="0"/>
      <w:spacing w:before="80" w:after="40"/>
      <w:outlineLvl w:val="3"/>
    </w:pPr>
    <w:rPr>
      <w:rFonts w:asciiTheme="minorHAnsi" w:eastAsiaTheme="majorEastAsia" w:hAnsiTheme="minorHAnsi" w:cstheme="majorBidi"/>
      <w:i/>
      <w:iCs/>
      <w:color w:val="0F4761" w:themeColor="accent1" w:themeShade="BF"/>
      <w:lang w:val="vi-VN" w:eastAsia="vi-VN"/>
    </w:rPr>
  </w:style>
  <w:style w:type="paragraph" w:styleId="Heading5">
    <w:name w:val="heading 5"/>
    <w:basedOn w:val="Normal"/>
    <w:next w:val="Normal"/>
    <w:link w:val="Heading5Char"/>
    <w:uiPriority w:val="9"/>
    <w:semiHidden/>
    <w:unhideWhenUsed/>
    <w:qFormat/>
    <w:rsid w:val="00CA4134"/>
    <w:pPr>
      <w:keepNext/>
      <w:keepLines/>
      <w:widowControl w:val="0"/>
      <w:spacing w:before="80" w:after="40"/>
      <w:outlineLvl w:val="4"/>
    </w:pPr>
    <w:rPr>
      <w:rFonts w:asciiTheme="minorHAnsi" w:eastAsiaTheme="majorEastAsia" w:hAnsiTheme="minorHAnsi" w:cstheme="majorBidi"/>
      <w:color w:val="0F4761" w:themeColor="accent1" w:themeShade="BF"/>
      <w:lang w:val="vi-VN" w:eastAsia="vi-VN"/>
    </w:rPr>
  </w:style>
  <w:style w:type="paragraph" w:styleId="Heading6">
    <w:name w:val="heading 6"/>
    <w:basedOn w:val="Normal"/>
    <w:next w:val="Normal"/>
    <w:link w:val="Heading6Char"/>
    <w:uiPriority w:val="9"/>
    <w:semiHidden/>
    <w:unhideWhenUsed/>
    <w:qFormat/>
    <w:rsid w:val="00CA4134"/>
    <w:pPr>
      <w:keepNext/>
      <w:keepLines/>
      <w:widowControl w:val="0"/>
      <w:spacing w:before="40"/>
      <w:outlineLvl w:val="5"/>
    </w:pPr>
    <w:rPr>
      <w:rFonts w:asciiTheme="minorHAnsi" w:eastAsiaTheme="majorEastAsia" w:hAnsiTheme="minorHAnsi" w:cstheme="majorBidi"/>
      <w:i/>
      <w:iCs/>
      <w:color w:val="595959" w:themeColor="text1" w:themeTint="A6"/>
      <w:lang w:val="vi-VN" w:eastAsia="vi-VN"/>
    </w:rPr>
  </w:style>
  <w:style w:type="paragraph" w:styleId="Heading7">
    <w:name w:val="heading 7"/>
    <w:basedOn w:val="Normal"/>
    <w:next w:val="Normal"/>
    <w:link w:val="Heading7Char"/>
    <w:uiPriority w:val="9"/>
    <w:semiHidden/>
    <w:unhideWhenUsed/>
    <w:qFormat/>
    <w:rsid w:val="00CA4134"/>
    <w:pPr>
      <w:keepNext/>
      <w:keepLines/>
      <w:widowControl w:val="0"/>
      <w:spacing w:before="40"/>
      <w:outlineLvl w:val="6"/>
    </w:pPr>
    <w:rPr>
      <w:rFonts w:asciiTheme="minorHAnsi" w:eastAsiaTheme="majorEastAsia" w:hAnsiTheme="minorHAnsi" w:cstheme="majorBidi"/>
      <w:color w:val="595959" w:themeColor="text1" w:themeTint="A6"/>
      <w:lang w:val="vi-VN" w:eastAsia="vi-VN"/>
    </w:rPr>
  </w:style>
  <w:style w:type="paragraph" w:styleId="Heading8">
    <w:name w:val="heading 8"/>
    <w:basedOn w:val="Normal"/>
    <w:next w:val="Normal"/>
    <w:link w:val="Heading8Char"/>
    <w:uiPriority w:val="9"/>
    <w:semiHidden/>
    <w:unhideWhenUsed/>
    <w:qFormat/>
    <w:rsid w:val="00CA4134"/>
    <w:pPr>
      <w:keepNext/>
      <w:keepLines/>
      <w:widowControl w:val="0"/>
      <w:outlineLvl w:val="7"/>
    </w:pPr>
    <w:rPr>
      <w:rFonts w:asciiTheme="minorHAnsi" w:eastAsiaTheme="majorEastAsia" w:hAnsiTheme="minorHAnsi" w:cstheme="majorBidi"/>
      <w:i/>
      <w:iCs/>
      <w:color w:val="272727" w:themeColor="text1" w:themeTint="D8"/>
      <w:lang w:val="vi-VN" w:eastAsia="vi-VN"/>
    </w:rPr>
  </w:style>
  <w:style w:type="paragraph" w:styleId="Heading9">
    <w:name w:val="heading 9"/>
    <w:basedOn w:val="Normal"/>
    <w:next w:val="Normal"/>
    <w:link w:val="Heading9Char"/>
    <w:uiPriority w:val="9"/>
    <w:semiHidden/>
    <w:unhideWhenUsed/>
    <w:qFormat/>
    <w:rsid w:val="00CA4134"/>
    <w:pPr>
      <w:keepNext/>
      <w:keepLines/>
      <w:widowControl w:val="0"/>
      <w:outlineLvl w:val="8"/>
    </w:pPr>
    <w:rPr>
      <w:rFonts w:asciiTheme="minorHAnsi" w:eastAsiaTheme="majorEastAsia" w:hAnsiTheme="minorHAnsi" w:cstheme="majorBidi"/>
      <w:color w:val="272727" w:themeColor="text1" w:themeTint="D8"/>
      <w:lang w:val="vi-VN" w:eastAsia="vi-V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413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A413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A4134"/>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CA413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CA413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CA413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A413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A413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A413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A4134"/>
    <w:pPr>
      <w:widowControl w:val="0"/>
      <w:spacing w:after="80"/>
      <w:contextualSpacing/>
    </w:pPr>
    <w:rPr>
      <w:rFonts w:asciiTheme="majorHAnsi" w:eastAsiaTheme="majorEastAsia" w:hAnsiTheme="majorHAnsi" w:cstheme="majorBidi"/>
      <w:color w:val="000000"/>
      <w:spacing w:val="-10"/>
      <w:kern w:val="28"/>
      <w:sz w:val="56"/>
      <w:szCs w:val="56"/>
      <w:lang w:val="vi-VN" w:eastAsia="vi-VN"/>
    </w:rPr>
  </w:style>
  <w:style w:type="character" w:customStyle="1" w:styleId="TitleChar">
    <w:name w:val="Title Char"/>
    <w:basedOn w:val="DefaultParagraphFont"/>
    <w:link w:val="Title"/>
    <w:uiPriority w:val="10"/>
    <w:rsid w:val="00CA41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4134"/>
    <w:pPr>
      <w:widowControl w:val="0"/>
      <w:numPr>
        <w:ilvl w:val="1"/>
      </w:numPr>
    </w:pPr>
    <w:rPr>
      <w:rFonts w:asciiTheme="minorHAnsi" w:eastAsiaTheme="majorEastAsia" w:hAnsiTheme="minorHAnsi" w:cstheme="majorBidi"/>
      <w:color w:val="595959" w:themeColor="text1" w:themeTint="A6"/>
      <w:spacing w:val="15"/>
      <w:szCs w:val="28"/>
      <w:lang w:val="vi-VN" w:eastAsia="vi-VN"/>
    </w:rPr>
  </w:style>
  <w:style w:type="character" w:customStyle="1" w:styleId="SubtitleChar">
    <w:name w:val="Subtitle Char"/>
    <w:basedOn w:val="DefaultParagraphFont"/>
    <w:link w:val="Subtitle"/>
    <w:uiPriority w:val="11"/>
    <w:rsid w:val="00CA4134"/>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CA4134"/>
    <w:pPr>
      <w:widowControl w:val="0"/>
      <w:spacing w:before="160"/>
      <w:jc w:val="center"/>
    </w:pPr>
    <w:rPr>
      <w:rFonts w:ascii="Microsoft Sans Serif" w:eastAsia="Microsoft Sans Serif" w:hAnsi="Microsoft Sans Serif" w:cs="Microsoft Sans Serif"/>
      <w:i/>
      <w:iCs/>
      <w:color w:val="404040" w:themeColor="text1" w:themeTint="BF"/>
      <w:lang w:val="vi-VN" w:eastAsia="vi-VN"/>
    </w:rPr>
  </w:style>
  <w:style w:type="character" w:customStyle="1" w:styleId="QuoteChar">
    <w:name w:val="Quote Char"/>
    <w:basedOn w:val="DefaultParagraphFont"/>
    <w:link w:val="Quote"/>
    <w:uiPriority w:val="29"/>
    <w:rsid w:val="00CA4134"/>
    <w:rPr>
      <w:i/>
      <w:iCs/>
      <w:color w:val="404040" w:themeColor="text1" w:themeTint="BF"/>
    </w:rPr>
  </w:style>
  <w:style w:type="paragraph" w:styleId="ListParagraph">
    <w:name w:val="List Paragraph"/>
    <w:basedOn w:val="Normal"/>
    <w:uiPriority w:val="34"/>
    <w:qFormat/>
    <w:rsid w:val="00CA4134"/>
    <w:pPr>
      <w:widowControl w:val="0"/>
      <w:ind w:left="720"/>
      <w:contextualSpacing/>
    </w:pPr>
    <w:rPr>
      <w:rFonts w:ascii="Microsoft Sans Serif" w:eastAsia="Microsoft Sans Serif" w:hAnsi="Microsoft Sans Serif" w:cs="Microsoft Sans Serif"/>
      <w:color w:val="000000"/>
      <w:lang w:val="vi-VN" w:eastAsia="vi-VN"/>
    </w:rPr>
  </w:style>
  <w:style w:type="character" w:styleId="IntenseEmphasis">
    <w:name w:val="Intense Emphasis"/>
    <w:basedOn w:val="DefaultParagraphFont"/>
    <w:uiPriority w:val="21"/>
    <w:qFormat/>
    <w:rsid w:val="00CA4134"/>
    <w:rPr>
      <w:i/>
      <w:iCs/>
      <w:color w:val="0F4761" w:themeColor="accent1" w:themeShade="BF"/>
    </w:rPr>
  </w:style>
  <w:style w:type="paragraph" w:styleId="IntenseQuote">
    <w:name w:val="Intense Quote"/>
    <w:basedOn w:val="Normal"/>
    <w:next w:val="Normal"/>
    <w:link w:val="IntenseQuoteChar"/>
    <w:uiPriority w:val="30"/>
    <w:qFormat/>
    <w:rsid w:val="00CA4134"/>
    <w:pPr>
      <w:widowControl w:val="0"/>
      <w:pBdr>
        <w:top w:val="single" w:sz="4" w:space="10" w:color="0F4761" w:themeColor="accent1" w:themeShade="BF"/>
        <w:bottom w:val="single" w:sz="4" w:space="10" w:color="0F4761" w:themeColor="accent1" w:themeShade="BF"/>
      </w:pBdr>
      <w:spacing w:before="360" w:after="360"/>
      <w:ind w:left="864" w:right="864"/>
      <w:jc w:val="center"/>
    </w:pPr>
    <w:rPr>
      <w:rFonts w:ascii="Microsoft Sans Serif" w:eastAsia="Microsoft Sans Serif" w:hAnsi="Microsoft Sans Serif" w:cs="Microsoft Sans Serif"/>
      <w:i/>
      <w:iCs/>
      <w:color w:val="0F4761" w:themeColor="accent1" w:themeShade="BF"/>
      <w:lang w:val="vi-VN" w:eastAsia="vi-VN"/>
    </w:rPr>
  </w:style>
  <w:style w:type="character" w:customStyle="1" w:styleId="IntenseQuoteChar">
    <w:name w:val="Intense Quote Char"/>
    <w:basedOn w:val="DefaultParagraphFont"/>
    <w:link w:val="IntenseQuote"/>
    <w:uiPriority w:val="30"/>
    <w:rsid w:val="00CA4134"/>
    <w:rPr>
      <w:i/>
      <w:iCs/>
      <w:color w:val="0F4761" w:themeColor="accent1" w:themeShade="BF"/>
    </w:rPr>
  </w:style>
  <w:style w:type="character" w:styleId="IntenseReference">
    <w:name w:val="Intense Reference"/>
    <w:basedOn w:val="DefaultParagraphFont"/>
    <w:uiPriority w:val="32"/>
    <w:qFormat/>
    <w:rsid w:val="00CA4134"/>
    <w:rPr>
      <w:b/>
      <w:bCs/>
      <w:smallCaps/>
      <w:color w:val="0F4761" w:themeColor="accent1" w:themeShade="BF"/>
      <w:spacing w:val="5"/>
    </w:rPr>
  </w:style>
  <w:style w:type="table" w:customStyle="1" w:styleId="GenStyleDefTable">
    <w:name w:val="GenStyleDefTable"/>
    <w:rsid w:val="00CA4134"/>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eastAsia="Times New Roman" w:cs="Times New Roman"/>
      <w:kern w:val="0"/>
      <w:sz w:val="20"/>
      <w:lang w:bidi="en-US"/>
      <w14:ligatures w14:val="none"/>
    </w:rPr>
    <w:tblPr>
      <w:tblCellMar>
        <w:top w:w="0" w:type="dxa"/>
        <w:left w:w="0" w:type="dxa"/>
        <w:bottom w:w="0" w:type="dxa"/>
        <w:right w:w="0" w:type="dxa"/>
      </w:tblCellMar>
    </w:tblPr>
  </w:style>
  <w:style w:type="paragraph" w:styleId="NormalWeb">
    <w:name w:val="Normal (Web)"/>
    <w:aliases w:val="Char Char,Normal (Web) Char1,Char8 Char,Char8,webb, Char8 Char, Char8,Обычный (веб)1,Обычный (веб) Знак,Обычный (веб) Знак1,Обычный (веб) Знак Знак,Geneva 9,표준 (웹),Char Char5,Normal (Web) Char Char Char Char Char,Char Char Cha"/>
    <w:basedOn w:val="Normal"/>
    <w:link w:val="NormalWebChar"/>
    <w:uiPriority w:val="99"/>
    <w:unhideWhenUsed/>
    <w:qFormat/>
    <w:rsid w:val="00C663DA"/>
    <w:pPr>
      <w:spacing w:before="100" w:beforeAutospacing="1" w:after="100" w:afterAutospacing="1"/>
    </w:pPr>
  </w:style>
  <w:style w:type="character" w:customStyle="1" w:styleId="NormalWebChar">
    <w:name w:val="Normal (Web) Char"/>
    <w:aliases w:val="Char Char Char,Normal (Web) Char1 Char,Char8 Char Char,Char8 Char1,webb Char, Char8 Char Char, Char8 Char1,Обычный (веб)1 Char,Обычный (веб) Знак Char,Обычный (веб) Знак1 Char,Обычный (веб) Знак Знак Char,Geneva 9 Char,표준 (웹) Char"/>
    <w:link w:val="NormalWeb"/>
    <w:uiPriority w:val="99"/>
    <w:rsid w:val="00C663DA"/>
    <w:rPr>
      <w:rFonts w:eastAsia="Times New Roman" w:cs="Times New Roman"/>
      <w:kern w:val="0"/>
      <w:sz w:val="24"/>
      <w:szCs w:val="24"/>
      <w14:ligatures w14:val="none"/>
    </w:rPr>
  </w:style>
  <w:style w:type="table" w:styleId="TableGrid">
    <w:name w:val="Table Grid"/>
    <w:basedOn w:val="TableNormal"/>
    <w:uiPriority w:val="99"/>
    <w:rsid w:val="00174847"/>
    <w:pPr>
      <w:spacing w:after="0" w:line="240" w:lineRule="auto"/>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C085F"/>
    <w:pPr>
      <w:widowControl w:val="0"/>
      <w:tabs>
        <w:tab w:val="center" w:pos="4680"/>
        <w:tab w:val="right" w:pos="9360"/>
      </w:tabs>
    </w:pPr>
    <w:rPr>
      <w:rFonts w:ascii="Microsoft Sans Serif" w:eastAsia="Microsoft Sans Serif" w:hAnsi="Microsoft Sans Serif" w:cs="Microsoft Sans Serif"/>
      <w:color w:val="000000"/>
      <w:lang w:val="vi-VN" w:eastAsia="vi-VN"/>
    </w:rPr>
  </w:style>
  <w:style w:type="character" w:customStyle="1" w:styleId="HeaderChar">
    <w:name w:val="Header Char"/>
    <w:basedOn w:val="DefaultParagraphFont"/>
    <w:link w:val="Header"/>
    <w:uiPriority w:val="99"/>
    <w:rsid w:val="00AC085F"/>
    <w:rPr>
      <w:rFonts w:ascii="Microsoft Sans Serif" w:eastAsia="Microsoft Sans Serif" w:hAnsi="Microsoft Sans Serif" w:cs="Microsoft Sans Serif"/>
      <w:color w:val="000000"/>
      <w:kern w:val="0"/>
      <w:sz w:val="24"/>
      <w:szCs w:val="24"/>
      <w:lang w:val="vi-VN" w:eastAsia="vi-VN"/>
      <w14:ligatures w14:val="none"/>
    </w:rPr>
  </w:style>
  <w:style w:type="paragraph" w:styleId="Footer">
    <w:name w:val="footer"/>
    <w:basedOn w:val="Normal"/>
    <w:link w:val="FooterChar"/>
    <w:uiPriority w:val="99"/>
    <w:unhideWhenUsed/>
    <w:rsid w:val="00AC085F"/>
    <w:pPr>
      <w:widowControl w:val="0"/>
      <w:tabs>
        <w:tab w:val="center" w:pos="4680"/>
        <w:tab w:val="right" w:pos="9360"/>
      </w:tabs>
    </w:pPr>
    <w:rPr>
      <w:rFonts w:ascii="Microsoft Sans Serif" w:eastAsia="Microsoft Sans Serif" w:hAnsi="Microsoft Sans Serif" w:cs="Microsoft Sans Serif"/>
      <w:color w:val="000000"/>
      <w:lang w:val="vi-VN" w:eastAsia="vi-VN"/>
    </w:rPr>
  </w:style>
  <w:style w:type="character" w:customStyle="1" w:styleId="FooterChar">
    <w:name w:val="Footer Char"/>
    <w:basedOn w:val="DefaultParagraphFont"/>
    <w:link w:val="Footer"/>
    <w:uiPriority w:val="99"/>
    <w:rsid w:val="00AC085F"/>
    <w:rPr>
      <w:rFonts w:ascii="Microsoft Sans Serif" w:eastAsia="Microsoft Sans Serif" w:hAnsi="Microsoft Sans Serif" w:cs="Microsoft Sans Serif"/>
      <w:color w:val="000000"/>
      <w:kern w:val="0"/>
      <w:sz w:val="24"/>
      <w:szCs w:val="24"/>
      <w:lang w:val="vi-VN" w:eastAsia="vi-V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A82A4F-3027-4CBA-A838-48B28603CA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4901</TotalTime>
  <Pages>5</Pages>
  <Words>1404</Words>
  <Characters>8004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Admin</cp:lastModifiedBy>
  <cp:revision>40</cp:revision>
  <dcterms:created xsi:type="dcterms:W3CDTF">2026-01-11T03:52:00Z</dcterms:created>
  <dcterms:modified xsi:type="dcterms:W3CDTF">2026-05-05T03:10:00Z</dcterms:modified>
</cp:coreProperties>
</file>