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41" w:type="dxa"/>
        <w:jc w:val="center"/>
        <w:tblLook w:val="0000" w:firstRow="0" w:lastRow="0" w:firstColumn="0" w:lastColumn="0" w:noHBand="0" w:noVBand="0"/>
      </w:tblPr>
      <w:tblGrid>
        <w:gridCol w:w="5445"/>
        <w:gridCol w:w="8496"/>
      </w:tblGrid>
      <w:tr w:rsidR="00726DD6" w:rsidRPr="008D4BB1" w14:paraId="7D91223B" w14:textId="77777777" w:rsidTr="00E9683F">
        <w:trPr>
          <w:trHeight w:val="80"/>
          <w:jc w:val="center"/>
        </w:trPr>
        <w:tc>
          <w:tcPr>
            <w:tcW w:w="5445" w:type="dxa"/>
          </w:tcPr>
          <w:p w14:paraId="4000529B" w14:textId="7F9F6FE0" w:rsidR="008C313D" w:rsidRPr="008D4BB1" w:rsidRDefault="008C313D" w:rsidP="00BF17A6">
            <w:pPr>
              <w:spacing w:after="0" w:line="240" w:lineRule="auto"/>
              <w:jc w:val="center"/>
              <w:rPr>
                <w:rFonts w:ascii="Times New Roman" w:hAnsi="Times New Roman"/>
                <w:b/>
                <w:sz w:val="26"/>
                <w:szCs w:val="26"/>
              </w:rPr>
            </w:pPr>
            <w:r w:rsidRPr="008D4BB1">
              <w:rPr>
                <w:rFonts w:ascii="Times New Roman" w:hAnsi="Times New Roman"/>
                <w:sz w:val="26"/>
                <w:szCs w:val="26"/>
              </w:rPr>
              <w:t>UBND TỈNH</w:t>
            </w:r>
            <w:r w:rsidR="00BC7F88">
              <w:rPr>
                <w:rFonts w:ascii="Times New Roman" w:hAnsi="Times New Roman"/>
                <w:sz w:val="26"/>
                <w:szCs w:val="26"/>
              </w:rPr>
              <w:t xml:space="preserve"> TUYÊN QUANG</w:t>
            </w:r>
          </w:p>
        </w:tc>
        <w:tc>
          <w:tcPr>
            <w:tcW w:w="8496" w:type="dxa"/>
          </w:tcPr>
          <w:p w14:paraId="676DE257" w14:textId="26D662CF" w:rsidR="008C313D" w:rsidRPr="008D4BB1" w:rsidRDefault="008C313D" w:rsidP="00BF17A6">
            <w:pPr>
              <w:pStyle w:val="Heading2"/>
              <w:rPr>
                <w:spacing w:val="-4"/>
              </w:rPr>
            </w:pPr>
            <w:r w:rsidRPr="008D4BB1">
              <w:rPr>
                <w:spacing w:val="-4"/>
              </w:rPr>
              <w:t>CỘNG HÒA XÃ HỘI CHỦ NGHĨA VIỆT NAM</w:t>
            </w:r>
          </w:p>
        </w:tc>
      </w:tr>
      <w:tr w:rsidR="00726DD6" w:rsidRPr="008D4BB1" w14:paraId="2059F242" w14:textId="77777777" w:rsidTr="00E9683F">
        <w:trPr>
          <w:trHeight w:val="80"/>
          <w:jc w:val="center"/>
        </w:trPr>
        <w:tc>
          <w:tcPr>
            <w:tcW w:w="5445" w:type="dxa"/>
          </w:tcPr>
          <w:p w14:paraId="43DB3096" w14:textId="25722FC1" w:rsidR="008C313D" w:rsidRPr="008D4BB1" w:rsidRDefault="001522E2" w:rsidP="00BF17A6">
            <w:pPr>
              <w:pStyle w:val="Heading1"/>
              <w:rPr>
                <w:sz w:val="26"/>
                <w:szCs w:val="26"/>
              </w:rPr>
            </w:pPr>
            <w:r w:rsidRPr="008D4BB1">
              <w:rPr>
                <w:sz w:val="26"/>
                <w:szCs w:val="26"/>
              </w:rPr>
              <w:t>SỞ KHOA HỌC VÀ CÔNG NGHỆ</w:t>
            </w:r>
          </w:p>
        </w:tc>
        <w:tc>
          <w:tcPr>
            <w:tcW w:w="8496" w:type="dxa"/>
          </w:tcPr>
          <w:p w14:paraId="4AE3CDC6" w14:textId="09DA51CA" w:rsidR="008C313D" w:rsidRPr="008D4BB1" w:rsidRDefault="008C313D" w:rsidP="00BF17A6">
            <w:pPr>
              <w:spacing w:after="0" w:line="240" w:lineRule="auto"/>
              <w:jc w:val="center"/>
              <w:rPr>
                <w:rFonts w:ascii="Times New Roman" w:hAnsi="Times New Roman"/>
                <w:b/>
                <w:bCs/>
                <w:sz w:val="28"/>
                <w:szCs w:val="28"/>
              </w:rPr>
            </w:pPr>
            <w:r w:rsidRPr="008D4BB1">
              <w:rPr>
                <w:rFonts w:ascii="Times New Roman" w:hAnsi="Times New Roman"/>
                <w:b/>
                <w:bCs/>
                <w:sz w:val="28"/>
                <w:szCs w:val="28"/>
              </w:rPr>
              <w:t>Độc lập - Tự do - Hạnh phúc</w:t>
            </w:r>
          </w:p>
        </w:tc>
      </w:tr>
      <w:tr w:rsidR="008C313D" w:rsidRPr="008D4BB1" w14:paraId="588FCB96" w14:textId="77777777" w:rsidTr="00E9683F">
        <w:trPr>
          <w:trHeight w:val="80"/>
          <w:jc w:val="center"/>
        </w:trPr>
        <w:tc>
          <w:tcPr>
            <w:tcW w:w="5445" w:type="dxa"/>
          </w:tcPr>
          <w:p w14:paraId="35AF92D6" w14:textId="289ED103" w:rsidR="008C313D" w:rsidRPr="008D4BB1" w:rsidRDefault="008A064F" w:rsidP="00BF17A6">
            <w:pPr>
              <w:spacing w:before="120" w:after="120" w:line="240" w:lineRule="auto"/>
              <w:jc w:val="center"/>
              <w:rPr>
                <w:rFonts w:ascii="Times New Roman" w:hAnsi="Times New Roman"/>
                <w:noProof/>
                <w:sz w:val="26"/>
                <w:szCs w:val="26"/>
              </w:rPr>
            </w:pPr>
            <w:r w:rsidRPr="008D4BB1">
              <w:rPr>
                <w:rFonts w:ascii="Times New Roman" w:hAnsi="Times New Roman"/>
                <w:noProof/>
                <w:sz w:val="26"/>
                <w:szCs w:val="26"/>
              </w:rPr>
              <mc:AlternateContent>
                <mc:Choice Requires="wps">
                  <w:drawing>
                    <wp:anchor distT="0" distB="0" distL="114300" distR="114300" simplePos="0" relativeHeight="251657216" behindDoc="0" locked="0" layoutInCell="1" allowOverlap="1" wp14:anchorId="3E143743" wp14:editId="78574C10">
                      <wp:simplePos x="0" y="0"/>
                      <wp:positionH relativeFrom="column">
                        <wp:posOffset>1167765</wp:posOffset>
                      </wp:positionH>
                      <wp:positionV relativeFrom="paragraph">
                        <wp:posOffset>9525</wp:posOffset>
                      </wp:positionV>
                      <wp:extent cx="920750" cy="0"/>
                      <wp:effectExtent l="0" t="0" r="12700" b="19050"/>
                      <wp:wrapNone/>
                      <wp:docPr id="76063355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03FBB"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5pt,.75pt" to="164.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4qrQ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"/>
                  </w:pict>
                </mc:Fallback>
              </mc:AlternateContent>
            </w:r>
          </w:p>
        </w:tc>
        <w:tc>
          <w:tcPr>
            <w:tcW w:w="8496" w:type="dxa"/>
          </w:tcPr>
          <w:p w14:paraId="2BA0F2CF" w14:textId="0A436EED" w:rsidR="008C313D" w:rsidRPr="008D4BB1" w:rsidRDefault="00A01947" w:rsidP="00312A09">
            <w:pPr>
              <w:pStyle w:val="Heading3"/>
              <w:spacing w:before="120" w:after="120"/>
              <w:rPr>
                <w:sz w:val="26"/>
                <w:szCs w:val="26"/>
              </w:rPr>
            </w:pPr>
            <w:r w:rsidRPr="008D4BB1">
              <w:rPr>
                <w:sz w:val="26"/>
                <w:szCs w:val="26"/>
              </w:rPr>
              <mc:AlternateContent>
                <mc:Choice Requires="wps">
                  <w:drawing>
                    <wp:anchor distT="0" distB="0" distL="114300" distR="114300" simplePos="0" relativeHeight="251659264" behindDoc="0" locked="0" layoutInCell="1" allowOverlap="1" wp14:anchorId="2898CB66" wp14:editId="29677218">
                      <wp:simplePos x="0" y="0"/>
                      <wp:positionH relativeFrom="column">
                        <wp:posOffset>1541780</wp:posOffset>
                      </wp:positionH>
                      <wp:positionV relativeFrom="paragraph">
                        <wp:posOffset>14605</wp:posOffset>
                      </wp:positionV>
                      <wp:extent cx="2161540" cy="7620"/>
                      <wp:effectExtent l="0" t="0" r="10160" b="30480"/>
                      <wp:wrapNone/>
                      <wp:docPr id="15039032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5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644A1"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4pt,1.15pt" to="291.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"/>
                  </w:pict>
                </mc:Fallback>
              </mc:AlternateContent>
            </w:r>
            <w:r w:rsidR="00BC7F88">
              <w:rPr>
                <w:sz w:val="26"/>
                <w:szCs w:val="26"/>
              </w:rPr>
              <w:t>Tuyên Quang</w:t>
            </w:r>
            <w:r w:rsidR="00ED642A" w:rsidRPr="008D4BB1">
              <w:rPr>
                <w:sz w:val="26"/>
                <w:szCs w:val="26"/>
              </w:rPr>
              <w:t xml:space="preserve">, ngày </w:t>
            </w:r>
            <w:r w:rsidR="00BC7F88">
              <w:rPr>
                <w:sz w:val="26"/>
                <w:szCs w:val="26"/>
              </w:rPr>
              <w:t xml:space="preserve">     </w:t>
            </w:r>
            <w:r w:rsidR="00ED642A" w:rsidRPr="008D4BB1">
              <w:rPr>
                <w:sz w:val="26"/>
                <w:szCs w:val="26"/>
              </w:rPr>
              <w:t xml:space="preserve">tháng </w:t>
            </w:r>
            <w:r w:rsidR="00BC7F88">
              <w:rPr>
                <w:sz w:val="26"/>
                <w:szCs w:val="26"/>
              </w:rPr>
              <w:t xml:space="preserve"> 7</w:t>
            </w:r>
            <w:r w:rsidR="008C313D" w:rsidRPr="008D4BB1">
              <w:rPr>
                <w:sz w:val="26"/>
                <w:szCs w:val="26"/>
              </w:rPr>
              <w:t>năm 202</w:t>
            </w:r>
            <w:r w:rsidR="001522E2" w:rsidRPr="008D4BB1">
              <w:rPr>
                <w:sz w:val="26"/>
                <w:szCs w:val="26"/>
              </w:rPr>
              <w:t>6</w:t>
            </w:r>
          </w:p>
        </w:tc>
      </w:tr>
    </w:tbl>
    <w:p w14:paraId="4179E716" w14:textId="77777777" w:rsidR="001522E2" w:rsidRPr="008D4BB1" w:rsidRDefault="001522E2" w:rsidP="00F94B92">
      <w:pPr>
        <w:spacing w:after="0" w:line="240" w:lineRule="auto"/>
        <w:jc w:val="center"/>
        <w:rPr>
          <w:rFonts w:ascii="Times New Roman" w:hAnsi="Times New Roman"/>
          <w:b/>
          <w:iCs/>
          <w:sz w:val="28"/>
          <w:szCs w:val="28"/>
        </w:rPr>
      </w:pPr>
    </w:p>
    <w:p w14:paraId="6184F533" w14:textId="1A2C86BF" w:rsidR="00004992" w:rsidRDefault="007D32A8" w:rsidP="00BC7F88">
      <w:pPr>
        <w:spacing w:after="0" w:line="240" w:lineRule="auto"/>
        <w:jc w:val="center"/>
        <w:rPr>
          <w:rFonts w:ascii="Times New Roman" w:hAnsi="Times New Roman"/>
          <w:b/>
          <w:bCs/>
          <w:sz w:val="28"/>
          <w:szCs w:val="28"/>
        </w:rPr>
      </w:pPr>
      <w:r w:rsidRPr="008D4BB1">
        <w:rPr>
          <w:rFonts w:ascii="Times New Roman" w:hAnsi="Times New Roman"/>
          <w:b/>
          <w:iCs/>
          <w:sz w:val="28"/>
          <w:szCs w:val="28"/>
          <w:lang w:val="vi-VN"/>
        </w:rPr>
        <w:t xml:space="preserve">BẢNG SO SÁNH, THUYẾT MINH NỘI DUNG </w:t>
      </w:r>
      <w:r w:rsidR="004C6990" w:rsidRPr="008D4BB1">
        <w:rPr>
          <w:rFonts w:ascii="Times New Roman" w:hAnsi="Times New Roman"/>
          <w:b/>
          <w:bCs/>
          <w:sz w:val="28"/>
          <w:szCs w:val="28"/>
        </w:rPr>
        <w:t>D</w:t>
      </w:r>
      <w:r w:rsidR="004C6990" w:rsidRPr="008D4BB1">
        <w:rPr>
          <w:rFonts w:ascii="Times New Roman" w:hAnsi="Times New Roman"/>
          <w:b/>
          <w:bCs/>
          <w:sz w:val="28"/>
          <w:szCs w:val="28"/>
          <w:lang w:val="vi-VN"/>
        </w:rPr>
        <w:t>Ự THẢO</w:t>
      </w:r>
      <w:r w:rsidR="004C6990" w:rsidRPr="008D4BB1">
        <w:rPr>
          <w:rFonts w:ascii="Times New Roman" w:hAnsi="Times New Roman"/>
          <w:b/>
          <w:bCs/>
          <w:sz w:val="28"/>
          <w:szCs w:val="28"/>
        </w:rPr>
        <w:t xml:space="preserve"> </w:t>
      </w:r>
      <w:r w:rsidR="00BC7F88">
        <w:rPr>
          <w:rFonts w:ascii="Times New Roman" w:hAnsi="Times New Roman"/>
          <w:b/>
          <w:bCs/>
          <w:sz w:val="28"/>
          <w:szCs w:val="28"/>
        </w:rPr>
        <w:t>BAN HÀNH QUY ĐỊNH CHI TIẾT MỘT SỐ NỘI DUNG VỀ QUẢN LÝ CHƯƠNG TRÌNH, NHIỆM VỤ KHOA HỌC, CÔNG NGHỆ VÀ ĐỔI MỚI SÁNG TẠO SỬ DỤNG NGÂN SÁCH NHÀ NƯỚC TRÊN ĐỊA BÀN TỈNH TUYÊN QUANG</w:t>
      </w:r>
    </w:p>
    <w:p w14:paraId="41DB10F8" w14:textId="77777777" w:rsidR="0063209E" w:rsidRDefault="0063209E" w:rsidP="00BC7F88">
      <w:pPr>
        <w:spacing w:after="0" w:line="240" w:lineRule="auto"/>
        <w:jc w:val="center"/>
        <w:rPr>
          <w:rFonts w:ascii="Times New Roman" w:hAnsi="Times New Roman"/>
          <w:b/>
          <w:bCs/>
          <w:sz w:val="28"/>
          <w:szCs w:val="28"/>
        </w:rPr>
      </w:pPr>
    </w:p>
    <w:tbl>
      <w:tblPr>
        <w:tblStyle w:val="TableGrid"/>
        <w:tblW w:w="14490" w:type="dxa"/>
        <w:tblInd w:w="-72" w:type="dxa"/>
        <w:tblLook w:val="04A0" w:firstRow="1" w:lastRow="0" w:firstColumn="1" w:lastColumn="0" w:noHBand="0" w:noVBand="1"/>
      </w:tblPr>
      <w:tblGrid>
        <w:gridCol w:w="1080"/>
        <w:gridCol w:w="3400"/>
        <w:gridCol w:w="2819"/>
        <w:gridCol w:w="7191"/>
      </w:tblGrid>
      <w:tr w:rsidR="0063209E" w:rsidRPr="0063209E" w14:paraId="37613520" w14:textId="77777777" w:rsidTr="009E036A">
        <w:tc>
          <w:tcPr>
            <w:tcW w:w="1080" w:type="dxa"/>
          </w:tcPr>
          <w:p w14:paraId="0348A3C0" w14:textId="77777777" w:rsidR="0063209E" w:rsidRPr="0063209E" w:rsidRDefault="0063209E" w:rsidP="0063209E">
            <w:pPr>
              <w:spacing w:after="0" w:line="240" w:lineRule="auto"/>
              <w:jc w:val="center"/>
              <w:rPr>
                <w:rFonts w:ascii="Times New Roman" w:hAnsi="Times New Roman"/>
                <w:b/>
                <w:bCs/>
                <w:sz w:val="26"/>
                <w:szCs w:val="26"/>
              </w:rPr>
            </w:pPr>
            <w:r w:rsidRPr="0063209E">
              <w:rPr>
                <w:rFonts w:ascii="Times New Roman" w:hAnsi="Times New Roman"/>
                <w:b/>
                <w:bCs/>
                <w:sz w:val="26"/>
                <w:szCs w:val="26"/>
              </w:rPr>
              <w:t>STT</w:t>
            </w:r>
          </w:p>
        </w:tc>
        <w:tc>
          <w:tcPr>
            <w:tcW w:w="3400" w:type="dxa"/>
          </w:tcPr>
          <w:p w14:paraId="14BEB626" w14:textId="43E22945" w:rsidR="0063209E" w:rsidRPr="0063209E" w:rsidRDefault="0063209E" w:rsidP="0063209E">
            <w:pPr>
              <w:jc w:val="center"/>
              <w:rPr>
                <w:rFonts w:ascii="Times New Roman" w:hAnsi="Times New Roman"/>
                <w:b/>
                <w:bCs/>
                <w:sz w:val="26"/>
                <w:szCs w:val="26"/>
              </w:rPr>
            </w:pPr>
            <w:r w:rsidRPr="0063209E">
              <w:rPr>
                <w:rFonts w:ascii="Times New Roman" w:hAnsi="Times New Roman"/>
                <w:b/>
                <w:bCs/>
                <w:sz w:val="26"/>
                <w:szCs w:val="26"/>
              </w:rPr>
              <w:t>QUY PHẠM PHÁP LUẬT HIỆN HÀNH</w:t>
            </w:r>
          </w:p>
        </w:tc>
        <w:tc>
          <w:tcPr>
            <w:tcW w:w="2819" w:type="dxa"/>
          </w:tcPr>
          <w:p w14:paraId="735E8886" w14:textId="291D720D" w:rsidR="0063209E" w:rsidRPr="0063209E" w:rsidRDefault="0063209E" w:rsidP="0063209E">
            <w:pPr>
              <w:jc w:val="center"/>
              <w:rPr>
                <w:rFonts w:ascii="Times New Roman" w:hAnsi="Times New Roman"/>
                <w:b/>
                <w:bCs/>
                <w:sz w:val="26"/>
                <w:szCs w:val="26"/>
              </w:rPr>
            </w:pPr>
            <w:r w:rsidRPr="0063209E">
              <w:rPr>
                <w:rFonts w:ascii="Times New Roman" w:hAnsi="Times New Roman"/>
                <w:b/>
                <w:bCs/>
                <w:sz w:val="26"/>
                <w:szCs w:val="26"/>
              </w:rPr>
              <w:t>DỰ THẢO VĂN BẢN</w:t>
            </w:r>
          </w:p>
        </w:tc>
        <w:tc>
          <w:tcPr>
            <w:tcW w:w="7191" w:type="dxa"/>
          </w:tcPr>
          <w:p w14:paraId="0CA880C8" w14:textId="67914DD1" w:rsidR="0063209E" w:rsidRPr="0063209E" w:rsidRDefault="0063209E" w:rsidP="0063209E">
            <w:pPr>
              <w:jc w:val="center"/>
              <w:rPr>
                <w:rFonts w:ascii="Times New Roman" w:hAnsi="Times New Roman"/>
                <w:b/>
                <w:bCs/>
                <w:sz w:val="26"/>
                <w:szCs w:val="26"/>
              </w:rPr>
            </w:pPr>
            <w:r w:rsidRPr="0063209E">
              <w:rPr>
                <w:rFonts w:ascii="Times New Roman" w:hAnsi="Times New Roman"/>
                <w:b/>
                <w:bCs/>
                <w:sz w:val="26"/>
                <w:szCs w:val="26"/>
              </w:rPr>
              <w:t>THUYẾT MINH</w:t>
            </w:r>
          </w:p>
        </w:tc>
      </w:tr>
      <w:tr w:rsidR="0063209E" w:rsidRPr="00FC0B4F" w14:paraId="0FC62542" w14:textId="77777777" w:rsidTr="009E036A">
        <w:tc>
          <w:tcPr>
            <w:tcW w:w="1080" w:type="dxa"/>
          </w:tcPr>
          <w:p w14:paraId="273FD682" w14:textId="1589762F" w:rsidR="0063209E" w:rsidRPr="00FC0B4F" w:rsidRDefault="0063209E" w:rsidP="00BA5EFB">
            <w:pPr>
              <w:spacing w:after="0" w:line="240" w:lineRule="auto"/>
              <w:rPr>
                <w:rFonts w:ascii="Times New Roman" w:hAnsi="Times New Roman"/>
                <w:color w:val="000000" w:themeColor="text1"/>
                <w:sz w:val="26"/>
                <w:szCs w:val="26"/>
              </w:rPr>
            </w:pPr>
            <w:r w:rsidRPr="00FC0B4F">
              <w:rPr>
                <w:rFonts w:ascii="Times New Roman" w:hAnsi="Times New Roman"/>
                <w:color w:val="000000" w:themeColor="text1"/>
                <w:sz w:val="26"/>
                <w:szCs w:val="26"/>
              </w:rPr>
              <w:t>1</w:t>
            </w:r>
          </w:p>
        </w:tc>
        <w:tc>
          <w:tcPr>
            <w:tcW w:w="3400" w:type="dxa"/>
          </w:tcPr>
          <w:p w14:paraId="5714F073" w14:textId="77777777"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Luật KH,CN&amp;ĐMST năm 2025; Nghị định 267/2025/NĐ-CP giao UBND cấp tỉnh quy định chi tiết một số nội dung; chưa có quy định thống nhất của UBND tỉnh.</w:t>
            </w:r>
          </w:p>
        </w:tc>
        <w:tc>
          <w:tcPr>
            <w:tcW w:w="2819" w:type="dxa"/>
          </w:tcPr>
          <w:p w14:paraId="59594098" w14:textId="77777777"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Điều 1. Phạm vi điều chỉnh</w:t>
            </w:r>
          </w:p>
        </w:tc>
        <w:tc>
          <w:tcPr>
            <w:tcW w:w="7191" w:type="dxa"/>
          </w:tcPr>
          <w:p w14:paraId="517CA0A2" w14:textId="77777777" w:rsidR="001D001E" w:rsidRPr="00FC0B4F" w:rsidRDefault="001D001E" w:rsidP="001D001E">
            <w:pPr>
              <w:rPr>
                <w:rFonts w:ascii="Times New Roman" w:hAnsi="Times New Roman"/>
                <w:color w:val="000000" w:themeColor="text1"/>
                <w:sz w:val="26"/>
                <w:szCs w:val="26"/>
              </w:rPr>
            </w:pPr>
            <w:r w:rsidRPr="00FC0B4F">
              <w:rPr>
                <w:rFonts w:ascii="Times New Roman" w:hAnsi="Times New Roman"/>
                <w:color w:val="000000" w:themeColor="text1"/>
                <w:sz w:val="26"/>
                <w:szCs w:val="26"/>
              </w:rPr>
              <w:t>Điều này được xây dựng trên cơ sở quy định của Luật Khoa học, công nghệ và đổi mới sáng tạo năm 2025 và Nghị định số 267/2025/NĐ-CP, trong đó Chính phủ giao Ủy ban nhân dân cấp tỉnh quy định chi tiết một số nội dung về quản lý chương trình, nhiệm vụ khoa học, công nghệ và đổi mới sáng tạo sử dụng ngân sách nhà nước phù hợp với điều kiện của địa phương.</w:t>
            </w:r>
          </w:p>
          <w:p w14:paraId="500FF8BC" w14:textId="024B27CC" w:rsidR="0063209E" w:rsidRPr="00FC0B4F" w:rsidRDefault="001D001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Việc quy định phạm vi điều chỉnh nhằm xác định rõ giới hạn điều chỉnh của Quy định, bảo đảm chỉ cụ thể hóa những nội dung thuộc thẩm quyền của Ủy ban nhân dân tỉnh, không quy định lại hoặc làm thay đổi các nội dung đã được Luật, Nghị định và các Thông tư của Bộ Khoa học và Công nghệ quy định đầy đủ. Đồng thời, quy định nguyên tắc áp dụng đối với những nội dung chưa được quy định trong Quy định này nhằm bảo đảm tính thống nhất, đồng bộ của hệ thống pháp luật, tránh chồng chéo, trùng lặp trong quá trình áp dụng</w:t>
            </w:r>
          </w:p>
        </w:tc>
      </w:tr>
      <w:tr w:rsidR="0063209E" w:rsidRPr="00FC0B4F" w14:paraId="32A46385" w14:textId="77777777" w:rsidTr="009E036A">
        <w:tc>
          <w:tcPr>
            <w:tcW w:w="1080" w:type="dxa"/>
          </w:tcPr>
          <w:p w14:paraId="3F900A1A" w14:textId="55879CA9" w:rsidR="0063209E" w:rsidRPr="00FC0B4F" w:rsidRDefault="0063209E" w:rsidP="00BA5EFB">
            <w:pPr>
              <w:spacing w:after="0" w:line="240" w:lineRule="auto"/>
              <w:rPr>
                <w:rFonts w:ascii="Times New Roman" w:hAnsi="Times New Roman"/>
                <w:color w:val="000000" w:themeColor="text1"/>
                <w:sz w:val="26"/>
                <w:szCs w:val="26"/>
              </w:rPr>
            </w:pPr>
            <w:r w:rsidRPr="00FC0B4F">
              <w:rPr>
                <w:rFonts w:ascii="Times New Roman" w:hAnsi="Times New Roman"/>
                <w:color w:val="000000" w:themeColor="text1"/>
                <w:sz w:val="26"/>
                <w:szCs w:val="26"/>
              </w:rPr>
              <w:t>2</w:t>
            </w:r>
          </w:p>
        </w:tc>
        <w:tc>
          <w:tcPr>
            <w:tcW w:w="3400" w:type="dxa"/>
          </w:tcPr>
          <w:p w14:paraId="13E058F8" w14:textId="77777777"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 xml:space="preserve">Luật KH,CN&amp;ĐMST năm 2025; Nghị định </w:t>
            </w:r>
            <w:r w:rsidRPr="00FC0B4F">
              <w:rPr>
                <w:rFonts w:ascii="Times New Roman" w:hAnsi="Times New Roman"/>
                <w:color w:val="000000" w:themeColor="text1"/>
                <w:sz w:val="26"/>
                <w:szCs w:val="26"/>
              </w:rPr>
              <w:lastRenderedPageBreak/>
              <w:t>267/2025/NĐ-CP quy định các chủ thể tham gia quản lý nhiệm vụ.</w:t>
            </w:r>
          </w:p>
        </w:tc>
        <w:tc>
          <w:tcPr>
            <w:tcW w:w="2819" w:type="dxa"/>
          </w:tcPr>
          <w:p w14:paraId="20C1ED8C" w14:textId="77777777"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lastRenderedPageBreak/>
              <w:t>Điều 2. Đối tượng áp dụng</w:t>
            </w:r>
          </w:p>
        </w:tc>
        <w:tc>
          <w:tcPr>
            <w:tcW w:w="7191" w:type="dxa"/>
          </w:tcPr>
          <w:p w14:paraId="4AC2EA54" w14:textId="6E799621" w:rsidR="0063209E" w:rsidRPr="00FC0B4F" w:rsidRDefault="00DB1E29" w:rsidP="00BA5EFB">
            <w:pPr>
              <w:rPr>
                <w:rFonts w:ascii="Times New Roman" w:hAnsi="Times New Roman"/>
                <w:color w:val="000000" w:themeColor="text1"/>
                <w:sz w:val="26"/>
                <w:szCs w:val="26"/>
              </w:rPr>
            </w:pPr>
            <w:r>
              <w:rPr>
                <w:rFonts w:ascii="Times New Roman" w:hAnsi="Times New Roman"/>
                <w:color w:val="000000" w:themeColor="text1"/>
                <w:sz w:val="26"/>
                <w:szCs w:val="26"/>
              </w:rPr>
              <w:t>Quy</w:t>
            </w:r>
            <w:r w:rsidR="001D001E" w:rsidRPr="00FC0B4F">
              <w:rPr>
                <w:rFonts w:ascii="Times New Roman" w:hAnsi="Times New Roman"/>
                <w:color w:val="000000" w:themeColor="text1"/>
                <w:sz w:val="26"/>
                <w:szCs w:val="26"/>
              </w:rPr>
              <w:t xml:space="preserve"> định cụ thể các chủ thể áp dụng gồm cơ quan quản lý nhà nước; cơ quan, tổ chức, doanh nghiệp, cá nhân tham gia đề xuất, </w:t>
            </w:r>
            <w:r w:rsidR="001D001E" w:rsidRPr="00FC0B4F">
              <w:rPr>
                <w:rFonts w:ascii="Times New Roman" w:hAnsi="Times New Roman"/>
                <w:color w:val="000000" w:themeColor="text1"/>
                <w:sz w:val="26"/>
                <w:szCs w:val="26"/>
              </w:rPr>
              <w:lastRenderedPageBreak/>
              <w:t>tuyển chọn, giao trực tiếp, thực hiện, quản lý, đánh giá, nghiệm thu, ứng dụng kết quả chương trình, nhiệm vụ khoa học, công nghệ và đổi mới sáng tạo sử dụng ngân sách nhà nước và các cơ quan, tổ chức, cá nhân khác có liên quan. Việc xác định đầy đủ đối tượng áp dụng nhằm bảo đảm các chủ thể có liên quan đều được điều chỉnh thống nhất trong quá trình tổ chức thực hiện Quy định</w:t>
            </w:r>
          </w:p>
        </w:tc>
      </w:tr>
      <w:tr w:rsidR="0063209E" w:rsidRPr="00FC0B4F" w14:paraId="5956E7C6" w14:textId="77777777" w:rsidTr="009E036A">
        <w:tc>
          <w:tcPr>
            <w:tcW w:w="1080" w:type="dxa"/>
          </w:tcPr>
          <w:p w14:paraId="678AB856" w14:textId="4E91D7B2" w:rsidR="0063209E" w:rsidRPr="00FC0B4F" w:rsidRDefault="0063209E" w:rsidP="00BA5EFB">
            <w:pPr>
              <w:spacing w:after="0" w:line="240" w:lineRule="auto"/>
              <w:rPr>
                <w:rFonts w:ascii="Times New Roman" w:hAnsi="Times New Roman"/>
                <w:color w:val="000000" w:themeColor="text1"/>
                <w:sz w:val="26"/>
                <w:szCs w:val="26"/>
              </w:rPr>
            </w:pPr>
            <w:r w:rsidRPr="00FC0B4F">
              <w:rPr>
                <w:rFonts w:ascii="Times New Roman" w:hAnsi="Times New Roman"/>
                <w:color w:val="000000" w:themeColor="text1"/>
                <w:sz w:val="26"/>
                <w:szCs w:val="26"/>
              </w:rPr>
              <w:lastRenderedPageBreak/>
              <w:t>3</w:t>
            </w:r>
          </w:p>
        </w:tc>
        <w:tc>
          <w:tcPr>
            <w:tcW w:w="3400" w:type="dxa"/>
          </w:tcPr>
          <w:p w14:paraId="4FCE9EF9" w14:textId="77777777"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Luật Tổ chức chính quyền địa phương; khoản 13 Điều 3 Nghị định 267/2025/NĐ-CP.</w:t>
            </w:r>
          </w:p>
        </w:tc>
        <w:tc>
          <w:tcPr>
            <w:tcW w:w="2819" w:type="dxa"/>
          </w:tcPr>
          <w:p w14:paraId="44B5873B" w14:textId="4FB9D783"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 xml:space="preserve">Điều 3. </w:t>
            </w:r>
            <w:r w:rsidR="00873C94" w:rsidRPr="00FC0B4F">
              <w:rPr>
                <w:rFonts w:ascii="Times New Roman" w:hAnsi="Times New Roman"/>
                <w:color w:val="000000" w:themeColor="text1"/>
                <w:sz w:val="26"/>
                <w:szCs w:val="26"/>
              </w:rPr>
              <w:t>Phân cấp quản lý chương trình, nhiệm vụ khoa học, công nghệ và đổi mới sáng tạo</w:t>
            </w:r>
          </w:p>
        </w:tc>
        <w:tc>
          <w:tcPr>
            <w:tcW w:w="7191" w:type="dxa"/>
          </w:tcPr>
          <w:p w14:paraId="026AF7F1" w14:textId="77777777" w:rsidR="001D001E" w:rsidRPr="00FC0B4F" w:rsidRDefault="001D001E" w:rsidP="001D001E">
            <w:pPr>
              <w:rPr>
                <w:rFonts w:ascii="Times New Roman" w:hAnsi="Times New Roman"/>
                <w:color w:val="000000" w:themeColor="text1"/>
                <w:sz w:val="26"/>
                <w:szCs w:val="26"/>
              </w:rPr>
            </w:pPr>
            <w:r w:rsidRPr="00FC0B4F">
              <w:rPr>
                <w:rFonts w:ascii="Times New Roman" w:hAnsi="Times New Roman"/>
                <w:color w:val="000000" w:themeColor="text1"/>
                <w:sz w:val="26"/>
                <w:szCs w:val="26"/>
              </w:rPr>
              <w:t>Dự thảo quy định Sở Khoa học và Công nghệ là cơ quan được Ủy ban nhân dân tỉnh phân cấp thực hiện nhiệm vụ quản lý chương trình, nhiệm vụ khoa học, công nghệ và đổi mới sáng tạo sử dụng ngân sách nhà nước trên địa bàn tỉnh; đồng thời xác định rõ trách nhiệm của Sở Khoa học và Công nghệ trong vai trò cơ quan đầu mối tham mưu, trách nhiệm phối hợp của các sở, ban, ngành, Ủy ban nhân dân cấp xã và các cơ quan, tổ chức có liên quan, cũng như trách nhiệm của tổ chức chủ trì, chủ nhiệm nhiệm vụ và các tổ chức, cá nhân tham gia thực hiện nhiệm vụ khoa học, công nghệ và đổi mới sáng tạo.</w:t>
            </w:r>
          </w:p>
          <w:p w14:paraId="0311B4EF" w14:textId="203933F9" w:rsidR="0063209E" w:rsidRPr="00FC0B4F" w:rsidRDefault="001D001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Việc quy định cụ thể nội dung phân cấp nhằm bảo đảm thống nhất đầu mối quản lý, phân định rõ trách nhiệm giữa cơ quan quyết định và cơ quan được giao tổ chức thực hiện, bảo đảm việc quản lý chương trình, nhiệm vụ khoa học, công nghệ và đổi mới sáng tạo trên địa bàn tỉnh được thực hiện thống nhất, đúng thẩm quyền, phù hợp với quy định của Luật Khoa học, công nghệ và đổi mới sáng tạo và Nghị định số 267/2025/NĐ-CP. Quy định này không làm thay đổi thẩm quyền của Ủy ban nhân dân tỉnh mà chỉ cụ thể hóa cơ chế tổ chức thực hiện theo thẩm quyền được Chính phủ giao</w:t>
            </w:r>
          </w:p>
        </w:tc>
      </w:tr>
      <w:tr w:rsidR="0063209E" w:rsidRPr="00FC0B4F" w14:paraId="3EC13408" w14:textId="77777777" w:rsidTr="009E036A">
        <w:tc>
          <w:tcPr>
            <w:tcW w:w="1080" w:type="dxa"/>
          </w:tcPr>
          <w:p w14:paraId="7606848D" w14:textId="4C0CB728" w:rsidR="0063209E" w:rsidRPr="00FC0B4F" w:rsidRDefault="0063209E" w:rsidP="00BA5EFB">
            <w:pPr>
              <w:spacing w:after="0" w:line="240" w:lineRule="auto"/>
              <w:rPr>
                <w:rFonts w:ascii="Times New Roman" w:hAnsi="Times New Roman"/>
                <w:color w:val="000000" w:themeColor="text1"/>
                <w:sz w:val="26"/>
                <w:szCs w:val="26"/>
              </w:rPr>
            </w:pPr>
            <w:r w:rsidRPr="00FC0B4F">
              <w:rPr>
                <w:rFonts w:ascii="Times New Roman" w:hAnsi="Times New Roman"/>
                <w:color w:val="000000" w:themeColor="text1"/>
                <w:sz w:val="26"/>
                <w:szCs w:val="26"/>
              </w:rPr>
              <w:t>4</w:t>
            </w:r>
          </w:p>
        </w:tc>
        <w:tc>
          <w:tcPr>
            <w:tcW w:w="3400" w:type="dxa"/>
          </w:tcPr>
          <w:p w14:paraId="7317FC19" w14:textId="77777777"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 xml:space="preserve">Điều 21 Nghị định </w:t>
            </w:r>
            <w:r w:rsidRPr="00FC0B4F">
              <w:rPr>
                <w:rFonts w:ascii="Times New Roman" w:hAnsi="Times New Roman"/>
                <w:color w:val="000000" w:themeColor="text1"/>
                <w:sz w:val="26"/>
                <w:szCs w:val="26"/>
              </w:rPr>
              <w:lastRenderedPageBreak/>
              <w:t>267/2025/NĐ-CP.</w:t>
            </w:r>
          </w:p>
        </w:tc>
        <w:tc>
          <w:tcPr>
            <w:tcW w:w="2819" w:type="dxa"/>
          </w:tcPr>
          <w:p w14:paraId="7A2F340E" w14:textId="28278043" w:rsidR="0063209E" w:rsidRPr="00FC0B4F" w:rsidRDefault="0063209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lastRenderedPageBreak/>
              <w:t xml:space="preserve">Điều 4. </w:t>
            </w:r>
            <w:r w:rsidR="00873C94" w:rsidRPr="00FC0B4F">
              <w:rPr>
                <w:rFonts w:ascii="Times New Roman" w:hAnsi="Times New Roman"/>
                <w:color w:val="000000" w:themeColor="text1"/>
                <w:sz w:val="26"/>
                <w:szCs w:val="26"/>
              </w:rPr>
              <w:t xml:space="preserve">Căn cứ xây dựng Chương trình khoa </w:t>
            </w:r>
            <w:r w:rsidR="00873C94" w:rsidRPr="00FC0B4F">
              <w:rPr>
                <w:rFonts w:ascii="Times New Roman" w:hAnsi="Times New Roman"/>
                <w:color w:val="000000" w:themeColor="text1"/>
                <w:sz w:val="26"/>
                <w:szCs w:val="26"/>
              </w:rPr>
              <w:lastRenderedPageBreak/>
              <w:t>học, công nghệ và đổi mới sáng tạo cấp tỉnh</w:t>
            </w:r>
          </w:p>
        </w:tc>
        <w:tc>
          <w:tcPr>
            <w:tcW w:w="7191" w:type="dxa"/>
          </w:tcPr>
          <w:p w14:paraId="5DCBA946" w14:textId="77777777" w:rsidR="009D1BDE" w:rsidRPr="00FC0B4F" w:rsidRDefault="009D1BDE" w:rsidP="009D1BDE">
            <w:pPr>
              <w:rPr>
                <w:rFonts w:ascii="Times New Roman" w:hAnsi="Times New Roman"/>
                <w:color w:val="000000" w:themeColor="text1"/>
                <w:sz w:val="26"/>
                <w:szCs w:val="26"/>
              </w:rPr>
            </w:pPr>
            <w:r w:rsidRPr="00FC0B4F">
              <w:rPr>
                <w:rFonts w:ascii="Times New Roman" w:hAnsi="Times New Roman"/>
                <w:color w:val="000000" w:themeColor="text1"/>
                <w:sz w:val="26"/>
                <w:szCs w:val="26"/>
              </w:rPr>
              <w:lastRenderedPageBreak/>
              <w:t xml:space="preserve">Dự thảo quy định các căn cứ xây dựng Chương trình bao gồm định hướng, chiến lược, quy hoạch, kế hoạch phát triển của Trung </w:t>
            </w:r>
            <w:r w:rsidRPr="00FC0B4F">
              <w:rPr>
                <w:rFonts w:ascii="Times New Roman" w:hAnsi="Times New Roman"/>
                <w:color w:val="000000" w:themeColor="text1"/>
                <w:sz w:val="26"/>
                <w:szCs w:val="26"/>
              </w:rPr>
              <w:lastRenderedPageBreak/>
              <w:t>ương và của tỉnh; yêu cầu của Tỉnh ủy, Hội đồng nhân dân tỉnh, Ủy ban nhân dân tỉnh; nhu cầu thực tiễn của các ngành, lĩnh vực, địa phương; đồng thời xem xét khả năng cân đối nguồn lực về tài chính, nhân lực, cơ sở vật chất, hạ tầng và dữ liệu để bảo đảm tính khả thi trong quá trình tổ chức thực hiện.</w:t>
            </w:r>
          </w:p>
          <w:p w14:paraId="7FECE95B" w14:textId="4A75B2AD" w:rsidR="0063209E" w:rsidRPr="00FC0B4F" w:rsidRDefault="009D1BDE" w:rsidP="00BA5EFB">
            <w:pPr>
              <w:rPr>
                <w:rFonts w:ascii="Times New Roman" w:hAnsi="Times New Roman"/>
                <w:color w:val="000000" w:themeColor="text1"/>
                <w:sz w:val="26"/>
                <w:szCs w:val="26"/>
              </w:rPr>
            </w:pPr>
            <w:r w:rsidRPr="00FC0B4F">
              <w:rPr>
                <w:rFonts w:ascii="Times New Roman" w:hAnsi="Times New Roman"/>
                <w:color w:val="000000" w:themeColor="text1"/>
                <w:sz w:val="26"/>
                <w:szCs w:val="26"/>
              </w:rPr>
              <w:t>Việc quy định cụ thể các căn cứ xây dựng Chương trình nhằm bảo đảm việc đề xuất, lựa chọn và xây dựng Chương trình khoa học, công nghệ và đổi mới sáng tạo được thực hiện thống nhất, bám sát định hướng phát triển của tỉnh, đáp ứng yêu cầu quản lý nhà nước và phù hợp với quy định của Điều 21 Nghị định số 267/2025/NĐ-CP. Nội dung quy định không bổ sung căn cứ mới ngoài các quy định của pháp luật mà chỉ cụ thể hóa để áp dụng thống nhất trên địa bàn tỉnh</w:t>
            </w:r>
          </w:p>
        </w:tc>
      </w:tr>
      <w:tr w:rsidR="0063209E" w:rsidRPr="00FC0B4F" w14:paraId="32AD55AA" w14:textId="77777777" w:rsidTr="009E036A">
        <w:tc>
          <w:tcPr>
            <w:tcW w:w="1080" w:type="dxa"/>
          </w:tcPr>
          <w:p w14:paraId="14F5E702" w14:textId="1EDB5E2A" w:rsidR="0063209E" w:rsidRPr="00AC67E5" w:rsidRDefault="0063209E" w:rsidP="00BA5EFB">
            <w:pPr>
              <w:spacing w:after="0" w:line="240" w:lineRule="auto"/>
              <w:rPr>
                <w:rFonts w:ascii="Times New Roman" w:hAnsi="Times New Roman"/>
                <w:color w:val="000000" w:themeColor="text1"/>
                <w:sz w:val="26"/>
                <w:szCs w:val="26"/>
              </w:rPr>
            </w:pPr>
            <w:r w:rsidRPr="00AC67E5">
              <w:rPr>
                <w:rFonts w:ascii="Times New Roman" w:hAnsi="Times New Roman"/>
                <w:color w:val="000000" w:themeColor="text1"/>
                <w:sz w:val="26"/>
                <w:szCs w:val="26"/>
              </w:rPr>
              <w:lastRenderedPageBreak/>
              <w:t>5</w:t>
            </w:r>
          </w:p>
        </w:tc>
        <w:tc>
          <w:tcPr>
            <w:tcW w:w="3400" w:type="dxa"/>
          </w:tcPr>
          <w:p w14:paraId="38ABF1DF" w14:textId="77777777" w:rsidR="0063209E" w:rsidRPr="00AC67E5" w:rsidRDefault="0063209E"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Khoản 3, khoản 4 Điều 21 Nghị định 267/2025/NĐ-CP.</w:t>
            </w:r>
          </w:p>
        </w:tc>
        <w:tc>
          <w:tcPr>
            <w:tcW w:w="2819" w:type="dxa"/>
          </w:tcPr>
          <w:p w14:paraId="376AD00E" w14:textId="7F2E984B" w:rsidR="0063209E" w:rsidRPr="00AC67E5" w:rsidRDefault="0063209E"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Điều 5. </w:t>
            </w:r>
            <w:r w:rsidR="00873C94" w:rsidRPr="00AC67E5">
              <w:rPr>
                <w:rFonts w:ascii="Times New Roman" w:hAnsi="Times New Roman"/>
                <w:color w:val="000000" w:themeColor="text1"/>
                <w:sz w:val="26"/>
                <w:szCs w:val="26"/>
              </w:rPr>
              <w:t>Xây dựng, thẩm định, ban hành Chương trình khoa học, công nghệ và đổi mới sáng tạo cấp tỉnh</w:t>
            </w:r>
          </w:p>
        </w:tc>
        <w:tc>
          <w:tcPr>
            <w:tcW w:w="7191" w:type="dxa"/>
          </w:tcPr>
          <w:p w14:paraId="5634FE79" w14:textId="77777777" w:rsidR="009D1BDE" w:rsidRPr="00AC67E5" w:rsidRDefault="009D1BDE" w:rsidP="009D1BDE">
            <w:pPr>
              <w:rPr>
                <w:rFonts w:ascii="Times New Roman" w:hAnsi="Times New Roman"/>
                <w:color w:val="000000" w:themeColor="text1"/>
                <w:sz w:val="26"/>
                <w:szCs w:val="26"/>
              </w:rPr>
            </w:pPr>
            <w:r w:rsidRPr="00AC67E5">
              <w:rPr>
                <w:rFonts w:ascii="Times New Roman" w:hAnsi="Times New Roman"/>
                <w:color w:val="000000" w:themeColor="text1"/>
                <w:sz w:val="26"/>
                <w:szCs w:val="26"/>
              </w:rPr>
              <w:t>Dự thảo quy định cụ thể trách nhiệm của các sở, ban, ngành, địa phương trong việc đề xuất Chương trình; trách nhiệm của Sở Khoa học và Công nghệ trong tiếp nhận, rà soát hồ sơ, tổ chức Hội đồng tư vấn thẩm định, hoàn thiện hồ sơ và trình Ủy ban nhân dân tỉnh xem xét, quyết định phê duyệt Chương trình; đồng thời quy định việc công khai Quyết định phê duyệt Chương trình sau khi được ban hành để bảo đảm công khai, minh bạch trong quá trình tổ chức thực hiện.</w:t>
            </w:r>
          </w:p>
          <w:p w14:paraId="17BC6CF9" w14:textId="0B7C0055" w:rsidR="0063209E" w:rsidRPr="00AC67E5" w:rsidRDefault="009D1BDE"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Việc quy định trình tự, trách nhiệm của các cơ quan có liên quan nhằm bảo đảm thống nhất trong tổ chức thực hiện, phân định rõ trách nhiệm của từng chủ thể trong từng khâu từ xây dựng, thẩm định đến ban hành Chương trình, phù hợp với quy định của Nghị định số 267/2025/NĐ-CP. Nội dung Điều 5 không quy định thêm hồ sơ, trình tự hoặc thủ tục ngoài phạm vi được Chính phủ giao mà chỉ cụ thể hóa cơ chế tổ chức thực hiện tại địa phương, bảo </w:t>
            </w:r>
            <w:r w:rsidRPr="00AC67E5">
              <w:rPr>
                <w:rFonts w:ascii="Times New Roman" w:hAnsi="Times New Roman"/>
                <w:color w:val="000000" w:themeColor="text1"/>
                <w:sz w:val="26"/>
                <w:szCs w:val="26"/>
              </w:rPr>
              <w:lastRenderedPageBreak/>
              <w:t>đảm tính khả thi và thuận lợi trong quá trình triển khai</w:t>
            </w:r>
          </w:p>
        </w:tc>
      </w:tr>
      <w:tr w:rsidR="005A3F3D" w:rsidRPr="009D1BDE" w14:paraId="6A4A4599" w14:textId="77777777" w:rsidTr="009E036A">
        <w:tc>
          <w:tcPr>
            <w:tcW w:w="1080" w:type="dxa"/>
          </w:tcPr>
          <w:p w14:paraId="51363504" w14:textId="4CF18B74" w:rsidR="005A3F3D" w:rsidRPr="00AC67E5" w:rsidRDefault="005A3F3D" w:rsidP="00BA5EFB">
            <w:pPr>
              <w:spacing w:after="0" w:line="240" w:lineRule="auto"/>
              <w:rPr>
                <w:rFonts w:ascii="Times New Roman" w:hAnsi="Times New Roman"/>
                <w:color w:val="000000" w:themeColor="text1"/>
                <w:sz w:val="26"/>
                <w:szCs w:val="26"/>
              </w:rPr>
            </w:pPr>
            <w:r w:rsidRPr="00AC67E5">
              <w:rPr>
                <w:rFonts w:ascii="Times New Roman" w:hAnsi="Times New Roman"/>
                <w:color w:val="000000" w:themeColor="text1"/>
                <w:sz w:val="26"/>
                <w:szCs w:val="26"/>
              </w:rPr>
              <w:lastRenderedPageBreak/>
              <w:t>6</w:t>
            </w:r>
          </w:p>
        </w:tc>
        <w:tc>
          <w:tcPr>
            <w:tcW w:w="3400" w:type="dxa"/>
          </w:tcPr>
          <w:p w14:paraId="279CAD1A" w14:textId="2D8F5217" w:rsidR="005A3F3D" w:rsidRPr="00AC67E5" w:rsidRDefault="00AC67E5"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Điều 21 Nghị định số 267/2025/NĐ-CP quy định về xây dựng, thẩm định, ban hành và quản lý Chương trình khoa học, công nghệ và đổi mới sáng tạo; khoản 3 Điều 48 Nghị định số 262/2025/NĐ-CP quy định về đánh giá Chương trình. Chưa có quy định cụ thể của UBND tỉnh về trách nhiệm tổ chức thực hiện, điều chỉnh Chương trình tại địa phương.</w:t>
            </w:r>
          </w:p>
        </w:tc>
        <w:tc>
          <w:tcPr>
            <w:tcW w:w="2819" w:type="dxa"/>
          </w:tcPr>
          <w:p w14:paraId="40A97F55" w14:textId="3A11B5C4" w:rsidR="005A3F3D" w:rsidRPr="00AC67E5" w:rsidRDefault="005A3F3D"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Điều 6. </w:t>
            </w:r>
            <w:r w:rsidR="00873C94" w:rsidRPr="00AC67E5">
              <w:rPr>
                <w:rFonts w:ascii="Times New Roman" w:hAnsi="Times New Roman"/>
                <w:color w:val="000000" w:themeColor="text1"/>
                <w:sz w:val="26"/>
                <w:szCs w:val="26"/>
              </w:rPr>
              <w:t>Tổ chức thực hiện, điều chỉnh và đánh giá Chương trình</w:t>
            </w:r>
          </w:p>
        </w:tc>
        <w:tc>
          <w:tcPr>
            <w:tcW w:w="7191" w:type="dxa"/>
          </w:tcPr>
          <w:p w14:paraId="4186C542" w14:textId="550B4CF5" w:rsidR="005A3F3D" w:rsidRPr="00AC67E5" w:rsidRDefault="00AC67E5"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Dự thảo xác định rõ trách nhiệm của cơ quan chủ trì Chương trình, trách nhiệm của Sở Khoa học và Công nghệ trong theo dõi, tổng hợp, báo cáo; quy định trình tự điều chỉnh Chương trình và việc đánh giá kết quả thực hiện nhằm thống nhất đầu mối quản lý, bảo đảm việc tổ chức thực hiện Chương trình trên địa bàn tỉnh.</w:t>
            </w:r>
          </w:p>
        </w:tc>
      </w:tr>
      <w:tr w:rsidR="005A3F3D" w:rsidRPr="009D1BDE" w14:paraId="049EFA75" w14:textId="77777777" w:rsidTr="009E036A">
        <w:tc>
          <w:tcPr>
            <w:tcW w:w="1080" w:type="dxa"/>
          </w:tcPr>
          <w:p w14:paraId="2FF44301" w14:textId="572635A6" w:rsidR="005A3F3D" w:rsidRPr="00AC67E5" w:rsidRDefault="005A3F3D" w:rsidP="00BA5EFB">
            <w:pPr>
              <w:spacing w:after="0" w:line="240" w:lineRule="auto"/>
              <w:rPr>
                <w:rFonts w:ascii="Times New Roman" w:hAnsi="Times New Roman"/>
                <w:color w:val="000000" w:themeColor="text1"/>
                <w:sz w:val="26"/>
                <w:szCs w:val="26"/>
              </w:rPr>
            </w:pPr>
            <w:r w:rsidRPr="00AC67E5">
              <w:rPr>
                <w:rFonts w:ascii="Times New Roman" w:hAnsi="Times New Roman"/>
                <w:color w:val="000000" w:themeColor="text1"/>
                <w:sz w:val="26"/>
                <w:szCs w:val="26"/>
              </w:rPr>
              <w:t>7</w:t>
            </w:r>
          </w:p>
        </w:tc>
        <w:tc>
          <w:tcPr>
            <w:tcW w:w="3400" w:type="dxa"/>
          </w:tcPr>
          <w:p w14:paraId="48BB37BB" w14:textId="65B78A37" w:rsidR="005A3F3D" w:rsidRPr="00AC67E5" w:rsidRDefault="005A3F3D"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Điều 5 Nghị định số 267/2025/NĐ-CP quy định điều kiện đối với tổ chức, doanh nghiệp; Điều 8 Thông tư số 39/2025/TT-BKHCN quy định điều kiện đối với cá nhân tham gia thực hiện nhiệm vụ khoa học, công nghệ và đổi mới sáng tạo. Chưa có văn bản của UBND tỉnh quy định thống nhất việc áp dụng các điều kiện này trong quá trình xét tài trợ, đặt hàng tại địa phương.</w:t>
            </w:r>
          </w:p>
        </w:tc>
        <w:tc>
          <w:tcPr>
            <w:tcW w:w="2819" w:type="dxa"/>
          </w:tcPr>
          <w:p w14:paraId="5155EDE1" w14:textId="131B372A" w:rsidR="005A3F3D" w:rsidRPr="00AC67E5" w:rsidRDefault="005A3F3D"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Điều 7. </w:t>
            </w:r>
            <w:r w:rsidR="00705B4A" w:rsidRPr="00AC67E5">
              <w:rPr>
                <w:rFonts w:ascii="Times New Roman" w:hAnsi="Times New Roman"/>
                <w:color w:val="000000" w:themeColor="text1"/>
                <w:sz w:val="26"/>
                <w:szCs w:val="26"/>
              </w:rPr>
              <w:t>Điều kiện đối với tổ chức, doanh nghiệp, cá nhân đăng ký xét tài trợ, đặt hàng thực hiện nhiệm vụ khoa học, công nghệ và đổi mới sáng tạo sử dụng ngân sách nhà nước</w:t>
            </w:r>
          </w:p>
        </w:tc>
        <w:tc>
          <w:tcPr>
            <w:tcW w:w="7191" w:type="dxa"/>
          </w:tcPr>
          <w:p w14:paraId="0CB56F5C" w14:textId="7E95AE43" w:rsidR="00AC67E5" w:rsidRPr="00AC67E5" w:rsidRDefault="00DB1E29" w:rsidP="00BA5EFB">
            <w:pPr>
              <w:rPr>
                <w:rFonts w:ascii="Times New Roman" w:hAnsi="Times New Roman"/>
                <w:color w:val="000000" w:themeColor="text1"/>
                <w:sz w:val="26"/>
                <w:szCs w:val="26"/>
              </w:rPr>
            </w:pPr>
            <w:r>
              <w:rPr>
                <w:rFonts w:ascii="Times New Roman" w:hAnsi="Times New Roman"/>
                <w:color w:val="000000" w:themeColor="text1"/>
                <w:sz w:val="26"/>
                <w:szCs w:val="26"/>
              </w:rPr>
              <w:t>D</w:t>
            </w:r>
            <w:r w:rsidR="00AC67E5" w:rsidRPr="00AC67E5">
              <w:rPr>
                <w:rFonts w:ascii="Times New Roman" w:hAnsi="Times New Roman"/>
                <w:color w:val="000000" w:themeColor="text1"/>
                <w:sz w:val="26"/>
                <w:szCs w:val="26"/>
              </w:rPr>
              <w:t>ự thảo không quy định điều kiện mới mà dẫn chiếu áp dụng Điều 5 Nghị định số 267/2025/NĐ-CP đối với tổ chức, doanh nghiệp và Điều 8 Thông tư số 39/2025/TT-BKHCN đối với cá nhân, bảo đảm thống nhất với quy định của pháp luật hiện hành và thuận lợi khi các văn bản của Trung ương được sửa đổi, bổ sung.</w:t>
            </w:r>
          </w:p>
          <w:p w14:paraId="6893AE9F" w14:textId="297AA214" w:rsidR="005A3F3D" w:rsidRPr="00AC67E5" w:rsidRDefault="009D1BDE"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Việc xác định rõ điều kiện đối với tổ chức, doanh nghiệp và cá nhân tham gia thực hiện nhiệm vụ khoa học, công nghệ và đổi mới sáng tạo là cơ sở để cơ quan quản lý nhà nước tổ chức xét tài trợ, đặt hàng đúng đối tượng, bảo đảm lựa chọn tổ chức, doanh nghiệp và cá nhân có đủ năng lực thực hiện nhiệm vụ theo quy định của pháp luật. Nội dung Điều 7 </w:t>
            </w:r>
            <w:r w:rsidR="00AC67E5" w:rsidRPr="00AC67E5">
              <w:rPr>
                <w:rFonts w:ascii="Times New Roman" w:hAnsi="Times New Roman"/>
                <w:color w:val="000000" w:themeColor="text1"/>
                <w:sz w:val="26"/>
                <w:szCs w:val="26"/>
              </w:rPr>
              <w:t xml:space="preserve">Không làm phát sinh thủ tục hành chính, thành phần hồ sơ, trình tự hoặc thẩm quyền giải quyết so với quy định của Nghị định số 267/2025/NĐ-CP và Thông tư số </w:t>
            </w:r>
            <w:r w:rsidR="00AC67E5" w:rsidRPr="00AC67E5">
              <w:rPr>
                <w:rFonts w:ascii="Times New Roman" w:hAnsi="Times New Roman"/>
                <w:color w:val="000000" w:themeColor="text1"/>
                <w:sz w:val="26"/>
                <w:szCs w:val="26"/>
              </w:rPr>
              <w:lastRenderedPageBreak/>
              <w:t>39/2025/TT-BKHCN.</w:t>
            </w:r>
          </w:p>
        </w:tc>
      </w:tr>
      <w:tr w:rsidR="005A3F3D" w:rsidRPr="00AC67E5" w14:paraId="7428355F" w14:textId="77777777" w:rsidTr="009E036A">
        <w:tc>
          <w:tcPr>
            <w:tcW w:w="1080" w:type="dxa"/>
          </w:tcPr>
          <w:p w14:paraId="7B4CFF3A" w14:textId="30C1ED61" w:rsidR="005A3F3D" w:rsidRPr="00AC67E5" w:rsidRDefault="005A3F3D" w:rsidP="00BA5EFB">
            <w:pPr>
              <w:spacing w:after="0" w:line="240" w:lineRule="auto"/>
              <w:rPr>
                <w:rFonts w:ascii="Times New Roman" w:hAnsi="Times New Roman"/>
                <w:color w:val="000000" w:themeColor="text1"/>
                <w:sz w:val="26"/>
                <w:szCs w:val="26"/>
              </w:rPr>
            </w:pPr>
            <w:r w:rsidRPr="00AC67E5">
              <w:rPr>
                <w:rFonts w:ascii="Times New Roman" w:hAnsi="Times New Roman"/>
                <w:color w:val="000000" w:themeColor="text1"/>
                <w:sz w:val="26"/>
                <w:szCs w:val="26"/>
              </w:rPr>
              <w:lastRenderedPageBreak/>
              <w:t>8</w:t>
            </w:r>
          </w:p>
        </w:tc>
        <w:tc>
          <w:tcPr>
            <w:tcW w:w="3400" w:type="dxa"/>
          </w:tcPr>
          <w:p w14:paraId="53E8442A" w14:textId="7B46E21E" w:rsidR="005A3F3D" w:rsidRPr="00AC67E5" w:rsidRDefault="00AC67E5"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Điều 10 Nghị định số 267/2025/NĐ-CP quy định về xây dựng, phê duyệt và thông báo kế hoạch tài trợ, đặt hàng nhiệm vụ khoa học, công nghệ và đổi mới sáng tạo; trong đó khoản 4, khoản 5 và khoản 6 quy định việc phê duyệt và thông báo kế hoạch. Chưa có quy định cụ thể của UBND tỉnh về trách nhiệm phối hợp, trình tự tổ chức thực hiện tại địa phương</w:t>
            </w:r>
          </w:p>
        </w:tc>
        <w:tc>
          <w:tcPr>
            <w:tcW w:w="2819" w:type="dxa"/>
          </w:tcPr>
          <w:p w14:paraId="108BCEE9" w14:textId="7B22A121" w:rsidR="005A3F3D" w:rsidRPr="00AC67E5" w:rsidRDefault="005A3F3D"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Điều 8. </w:t>
            </w:r>
            <w:r w:rsidR="00705B4A" w:rsidRPr="00AC67E5">
              <w:rPr>
                <w:rFonts w:ascii="Times New Roman" w:hAnsi="Times New Roman"/>
                <w:color w:val="000000" w:themeColor="text1"/>
                <w:sz w:val="26"/>
                <w:szCs w:val="26"/>
              </w:rPr>
              <w:t>Căn cứ xây dựng và thông báo kế hoạch tài trợ, đặt hàng nhiệm vụ khoa học, công nghệ và đổi mới sáng tạo</w:t>
            </w:r>
          </w:p>
        </w:tc>
        <w:tc>
          <w:tcPr>
            <w:tcW w:w="7191" w:type="dxa"/>
          </w:tcPr>
          <w:p w14:paraId="70E36690" w14:textId="77777777" w:rsidR="009D1BDE" w:rsidRPr="00AC67E5" w:rsidRDefault="009D1BDE" w:rsidP="009D1BDE">
            <w:pPr>
              <w:rPr>
                <w:rFonts w:ascii="Times New Roman" w:hAnsi="Times New Roman"/>
                <w:color w:val="000000" w:themeColor="text1"/>
                <w:sz w:val="26"/>
                <w:szCs w:val="26"/>
              </w:rPr>
            </w:pPr>
            <w:r w:rsidRPr="00AC67E5">
              <w:rPr>
                <w:rFonts w:ascii="Times New Roman" w:hAnsi="Times New Roman"/>
                <w:color w:val="000000" w:themeColor="text1"/>
                <w:sz w:val="26"/>
                <w:szCs w:val="26"/>
              </w:rPr>
              <w:t>Dự thảo quy định các căn cứ để Sở Khoa học và Công nghệ xây dựng và thông báo kế hoạch tài trợ, đặt hàng hằng năm, bao gồm định hướng phát triển khoa học, công nghệ và đổi mới sáng tạo của tỉnh; yêu cầu quản lý của Trung ương và địa phương; đề xuất của các cơ quan, tổ chức; các cam kết hợp tác quốc tế; khả năng cân đối nguồn lực và các yêu cầu phát sinh từ thực tiễn. Việc quy định cụ thể các căn cứ này nhằm bảo đảm việc xây dựng kế hoạch tài trợ, đặt hàng được thực hiện thống nhất, công khai, phù hợp với yêu cầu phát triển kinh tế - xã hội và khả năng cân đối nguồn lực của địa phương.</w:t>
            </w:r>
          </w:p>
          <w:p w14:paraId="5E8D7757" w14:textId="1E096FDD" w:rsidR="005A3F3D" w:rsidRPr="00AC67E5" w:rsidRDefault="00AC67E5"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Nội dung Điều 8 chỉ cụ thể hóa cơ chế xây dựng và thông báo kế hoạch tài trợ, đặt hàng thực hiện nhiệm vụ khoa học, công nghệ và đổi mới sáng tạo trên địa bàn tỉnh; không làm phát sinh thủ tục hành chính, thành phần hồ sơ, điều kiện hoặc thẩm quyền mới ngoài quy định của Nghị định số 267/2025/NĐ-CP, bảo đảm tính thống nhất, đồng bộ của hệ thống pháp luật và thuận lợi trong tổ chức thực hiện.</w:t>
            </w:r>
          </w:p>
        </w:tc>
      </w:tr>
      <w:tr w:rsidR="005A3F3D" w:rsidRPr="00AC67E5" w14:paraId="1AE94BE5" w14:textId="77777777" w:rsidTr="009E036A">
        <w:tc>
          <w:tcPr>
            <w:tcW w:w="1080" w:type="dxa"/>
          </w:tcPr>
          <w:p w14:paraId="0A93D5EB" w14:textId="371ECF98" w:rsidR="005A3F3D" w:rsidRPr="00AC67E5" w:rsidRDefault="005A3F3D" w:rsidP="00BA5EFB">
            <w:pPr>
              <w:spacing w:after="0" w:line="240" w:lineRule="auto"/>
              <w:rPr>
                <w:rFonts w:ascii="Times New Roman" w:hAnsi="Times New Roman"/>
                <w:color w:val="000000" w:themeColor="text1"/>
                <w:sz w:val="26"/>
                <w:szCs w:val="26"/>
              </w:rPr>
            </w:pPr>
            <w:r w:rsidRPr="00AC67E5">
              <w:rPr>
                <w:rFonts w:ascii="Times New Roman" w:hAnsi="Times New Roman"/>
                <w:color w:val="000000" w:themeColor="text1"/>
                <w:sz w:val="26"/>
                <w:szCs w:val="26"/>
              </w:rPr>
              <w:t>9</w:t>
            </w:r>
          </w:p>
        </w:tc>
        <w:tc>
          <w:tcPr>
            <w:tcW w:w="3400" w:type="dxa"/>
          </w:tcPr>
          <w:p w14:paraId="648250A4" w14:textId="4D15E3C5" w:rsidR="005A3F3D" w:rsidRPr="00AC67E5" w:rsidRDefault="00DB1E29"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 xml:space="preserve">Khoản 3 Điều 10 Nghị định số 267/2025/NĐ-CP quy định về tiếp nhận đề xuất, rà soát, lựa chọn đặt hàng và xác định mức kinh phí dự kiến; Thông tư số 36/2025/TT-BKHCN quy định về hồ sơ, trình tự tổ chức hoạt động của Hội đồng tư vấn và các biểu mẫu thực hiện. Chưa có quy định cụ thể </w:t>
            </w:r>
            <w:r w:rsidRPr="00DB1E29">
              <w:rPr>
                <w:rFonts w:ascii="Times New Roman" w:hAnsi="Times New Roman"/>
                <w:color w:val="000000" w:themeColor="text1"/>
                <w:sz w:val="26"/>
                <w:szCs w:val="26"/>
              </w:rPr>
              <w:lastRenderedPageBreak/>
              <w:t>về tổ chức thực hiện trên địa bàn tỉnh.</w:t>
            </w:r>
          </w:p>
        </w:tc>
        <w:tc>
          <w:tcPr>
            <w:tcW w:w="2819" w:type="dxa"/>
          </w:tcPr>
          <w:p w14:paraId="765C8D39" w14:textId="12E6BD09" w:rsidR="005A3F3D" w:rsidRPr="00AC67E5" w:rsidRDefault="005A3F3D"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lastRenderedPageBreak/>
              <w:t xml:space="preserve">Điều 9. </w:t>
            </w:r>
            <w:r w:rsidR="00705B4A" w:rsidRPr="00AC67E5">
              <w:rPr>
                <w:rFonts w:ascii="Times New Roman" w:hAnsi="Times New Roman"/>
                <w:color w:val="000000" w:themeColor="text1"/>
                <w:sz w:val="26"/>
                <w:szCs w:val="26"/>
              </w:rPr>
              <w:t>Đặt hàng nhiệm vụ khoa học, công nghệ và đổi mới sáng tạo</w:t>
            </w:r>
          </w:p>
        </w:tc>
        <w:tc>
          <w:tcPr>
            <w:tcW w:w="7191" w:type="dxa"/>
          </w:tcPr>
          <w:p w14:paraId="39C006E5" w14:textId="77777777" w:rsidR="009D1BDE" w:rsidRPr="00AC67E5" w:rsidRDefault="009D1BDE" w:rsidP="009D1BDE">
            <w:pPr>
              <w:rPr>
                <w:rFonts w:ascii="Times New Roman" w:hAnsi="Times New Roman"/>
                <w:color w:val="000000" w:themeColor="text1"/>
                <w:sz w:val="26"/>
                <w:szCs w:val="26"/>
              </w:rPr>
            </w:pPr>
            <w:r w:rsidRPr="00AC67E5">
              <w:rPr>
                <w:rFonts w:ascii="Times New Roman" w:hAnsi="Times New Roman"/>
                <w:color w:val="000000" w:themeColor="text1"/>
                <w:sz w:val="26"/>
                <w:szCs w:val="26"/>
              </w:rPr>
              <w:t xml:space="preserve">Dự thảo quy định cụ thể trách nhiệm của Sở Khoa học và Công nghệ trong việc thông báo định hướng đặt hàng; tiếp nhận đề xuất của các sở, ban, ngành, Ủy ban nhân dân cấp xã và các tổ chức có liên quan; rà soát, tổng hợp đề xuất; xác định mức kinh phí dự kiến hỗ trợ từ ngân sách nhà nước và tổ chức Tổ chuyên gia tư vấn để xem xét, lựa chọn các đề xuất đặt hàng. Đồng thời, quy định nguyên tắc làm việc, phương thức làm việc, thành phần tài liệu phục vụ phiên họp, trình tự tổ chức phiên họp, phương pháp đánh giá, kết luận và lập báo cáo kết quả của Tổ chuyên gia tư vấn nhằm bảo đảm việc lựa chọn nhiệm vụ được thực hiện khách </w:t>
            </w:r>
            <w:r w:rsidRPr="00AC67E5">
              <w:rPr>
                <w:rFonts w:ascii="Times New Roman" w:hAnsi="Times New Roman"/>
                <w:color w:val="000000" w:themeColor="text1"/>
                <w:sz w:val="26"/>
                <w:szCs w:val="26"/>
              </w:rPr>
              <w:lastRenderedPageBreak/>
              <w:t>quan, công khai, minh bạch và đúng quy định.</w:t>
            </w:r>
          </w:p>
          <w:p w14:paraId="57A2C841" w14:textId="4FB98A5F" w:rsidR="005A3F3D" w:rsidRPr="00AC67E5" w:rsidRDefault="009D1BDE" w:rsidP="00BA5EFB">
            <w:pPr>
              <w:rPr>
                <w:rFonts w:ascii="Times New Roman" w:hAnsi="Times New Roman"/>
                <w:color w:val="000000" w:themeColor="text1"/>
                <w:sz w:val="26"/>
                <w:szCs w:val="26"/>
              </w:rPr>
            </w:pPr>
            <w:r w:rsidRPr="00AC67E5">
              <w:rPr>
                <w:rFonts w:ascii="Times New Roman" w:hAnsi="Times New Roman"/>
                <w:color w:val="000000" w:themeColor="text1"/>
                <w:sz w:val="26"/>
                <w:szCs w:val="26"/>
              </w:rPr>
              <w:t>Việc quy định cụ thể quy trình đặt hàng và hoạt động của Tổ chuyên gia tư vấn nhằm thống nhất trình tự tổ chức thực hiện trên địa bàn tỉnh, phân định rõ trách nhiệm của cơ quan quản lý và các tổ chức, cá nhân có liên quan trong từng bước của quá trình đặt hàng nhiệm vụ khoa học, công nghệ và đổi mới sáng tạo. Nội dung Điều 9 không quy định thêm thẩm quyền hoặc trình tự ngoài phạm vi được Chính phủ giao mà chỉ cụ thể hóa cơ chế tổ chức thực hiện theo khoản 3 Điều 10 Nghị định số 267/2025/NĐ-CP, bảo đảm tính thống nhất, khả thi và thuận lợi trong quá trình triển khai</w:t>
            </w:r>
          </w:p>
        </w:tc>
      </w:tr>
      <w:tr w:rsidR="005A3F3D" w:rsidRPr="00DB1E29" w14:paraId="07D40384" w14:textId="77777777" w:rsidTr="009E036A">
        <w:tc>
          <w:tcPr>
            <w:tcW w:w="1080" w:type="dxa"/>
          </w:tcPr>
          <w:p w14:paraId="1C7EBE2A" w14:textId="3965840D" w:rsidR="005A3F3D" w:rsidRPr="00DB1E29" w:rsidRDefault="005A3F3D" w:rsidP="00BA5EFB">
            <w:pPr>
              <w:spacing w:after="0" w:line="240" w:lineRule="auto"/>
              <w:rPr>
                <w:rFonts w:ascii="Times New Roman" w:hAnsi="Times New Roman"/>
                <w:color w:val="000000" w:themeColor="text1"/>
                <w:sz w:val="26"/>
                <w:szCs w:val="26"/>
              </w:rPr>
            </w:pPr>
            <w:r w:rsidRPr="00DB1E29">
              <w:rPr>
                <w:rFonts w:ascii="Times New Roman" w:hAnsi="Times New Roman"/>
                <w:color w:val="000000" w:themeColor="text1"/>
                <w:sz w:val="26"/>
                <w:szCs w:val="26"/>
              </w:rPr>
              <w:lastRenderedPageBreak/>
              <w:t>10</w:t>
            </w:r>
          </w:p>
        </w:tc>
        <w:tc>
          <w:tcPr>
            <w:tcW w:w="3400" w:type="dxa"/>
          </w:tcPr>
          <w:p w14:paraId="455210A6" w14:textId="04242EAC" w:rsidR="005A3F3D" w:rsidRPr="00DB1E29" w:rsidRDefault="00DB1E29"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Khoản 4, khoản 5 và khoản 6 Điều 10 Nghị định số 267/2025/NĐ-CP quy định việc phê duyệt danh mục đặt hàng và thông báo kế hoạch đặt hàng đối với từng loại nhiệm vụ; chưa có quy định cụ thể về trình tự tổ chức thực hiện tại địa phương.</w:t>
            </w:r>
          </w:p>
        </w:tc>
        <w:tc>
          <w:tcPr>
            <w:tcW w:w="2819" w:type="dxa"/>
          </w:tcPr>
          <w:p w14:paraId="78557D67" w14:textId="6C0EFDCA" w:rsidR="005A3F3D" w:rsidRPr="00DB1E29" w:rsidRDefault="005A3F3D"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 xml:space="preserve">Điều 10. </w:t>
            </w:r>
            <w:r w:rsidR="00705B4A" w:rsidRPr="00DB1E29">
              <w:rPr>
                <w:rFonts w:ascii="Times New Roman" w:hAnsi="Times New Roman"/>
                <w:color w:val="000000" w:themeColor="text1"/>
                <w:sz w:val="26"/>
                <w:szCs w:val="26"/>
              </w:rPr>
              <w:t>Phê duyệt danh mục đặt hàng và thông báo kế hoạch đặt hàng nhiệm vụ khoa học, công nghệ và đổi mới sáng tạo</w:t>
            </w:r>
          </w:p>
        </w:tc>
        <w:tc>
          <w:tcPr>
            <w:tcW w:w="7191" w:type="dxa"/>
          </w:tcPr>
          <w:p w14:paraId="1D66DD8E" w14:textId="06579722" w:rsidR="009D1BDE" w:rsidRPr="00DB1E29" w:rsidRDefault="009D1BDE" w:rsidP="009D1BDE">
            <w:pPr>
              <w:rPr>
                <w:rFonts w:ascii="Times New Roman" w:hAnsi="Times New Roman"/>
                <w:color w:val="000000" w:themeColor="text1"/>
                <w:sz w:val="26"/>
                <w:szCs w:val="26"/>
              </w:rPr>
            </w:pPr>
            <w:r w:rsidRPr="00DB1E29">
              <w:rPr>
                <w:rFonts w:ascii="Times New Roman" w:hAnsi="Times New Roman"/>
                <w:color w:val="000000" w:themeColor="text1"/>
                <w:sz w:val="26"/>
                <w:szCs w:val="26"/>
              </w:rPr>
              <w:t xml:space="preserve">Điều này được xây dựng trên cơ sở khoản 4 </w:t>
            </w:r>
            <w:r w:rsidR="00DB1E29" w:rsidRPr="00DB1E29">
              <w:rPr>
                <w:rFonts w:ascii="Times New Roman" w:hAnsi="Times New Roman"/>
                <w:color w:val="000000" w:themeColor="text1"/>
                <w:sz w:val="26"/>
                <w:szCs w:val="26"/>
              </w:rPr>
              <w:t xml:space="preserve">, 6 và 6 </w:t>
            </w:r>
            <w:r w:rsidRPr="00DB1E29">
              <w:rPr>
                <w:rFonts w:ascii="Times New Roman" w:hAnsi="Times New Roman"/>
                <w:color w:val="000000" w:themeColor="text1"/>
                <w:sz w:val="26"/>
                <w:szCs w:val="26"/>
              </w:rPr>
              <w:t>Điều 10 Nghị định số 267/2025/NĐ-CP nhằm cụ thể hóa trình tự phê duyệt danh mục đặt hàng và tổ chức thông báo kế hoạch đặt hàng nhiệm vụ khoa học, công nghệ và đổi mới sáng tạo thuộc thẩm quyền của Ủy ban nhân dân tỉnh.</w:t>
            </w:r>
          </w:p>
          <w:p w14:paraId="0E4E6209" w14:textId="77777777" w:rsidR="009D1BDE" w:rsidRPr="00DB1E29" w:rsidRDefault="009D1BDE" w:rsidP="009D1BDE">
            <w:pPr>
              <w:rPr>
                <w:rFonts w:ascii="Times New Roman" w:hAnsi="Times New Roman"/>
                <w:color w:val="000000" w:themeColor="text1"/>
                <w:sz w:val="26"/>
                <w:szCs w:val="26"/>
              </w:rPr>
            </w:pPr>
            <w:r w:rsidRPr="00DB1E29">
              <w:rPr>
                <w:rFonts w:ascii="Times New Roman" w:hAnsi="Times New Roman"/>
                <w:color w:val="000000" w:themeColor="text1"/>
                <w:sz w:val="26"/>
                <w:szCs w:val="26"/>
              </w:rPr>
              <w:t>Dự thảo quy định cụ thể trách nhiệm của Sở Khoa học và Công nghệ trong việc tổng hợp kết quả lựa chọn của Tổ chuyên gia, trình Ủy ban nhân dân tỉnh phê duyệt danh mục đặt hàng; tổ chức thông báo công khai kế hoạch đặt hàng sau khi được phê duyệt; thông báo bằng văn bản đối với trường hợp giao trực tiếp; đồng thời quy định việc thông báo đối với nhiệm vụ cấp bách, nhiệm vụ hợp tác quốc tế, cụm nhiệm vụ, chuỗi nhiệm vụ, nhiệm vụ giải mã công nghệ và nhiệm vụ mua bí quyết công nghệ theo quy định của Nghị định số 267/2025/NĐ-CP.</w:t>
            </w:r>
          </w:p>
          <w:p w14:paraId="02B8D51A" w14:textId="35452B0F" w:rsidR="005A3F3D" w:rsidRPr="00DB1E29" w:rsidRDefault="009D1BDE"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 xml:space="preserve">Việc quy định cụ thể trình tự phê duyệt và công khai kế hoạch đặt hàng nhằm bảo đảm việc triển khai đặt hàng nhiệm vụ khoa học, </w:t>
            </w:r>
            <w:r w:rsidRPr="00DB1E29">
              <w:rPr>
                <w:rFonts w:ascii="Times New Roman" w:hAnsi="Times New Roman"/>
                <w:color w:val="000000" w:themeColor="text1"/>
                <w:sz w:val="26"/>
                <w:szCs w:val="26"/>
              </w:rPr>
              <w:lastRenderedPageBreak/>
              <w:t>công nghệ và đổi mới sáng tạo được thực hiện thống nhất, công khai, minh bạch và đúng thẩm quyền; tạo cơ sở để các tổ chức, doanh nghiệp và cá nhân có đủ thông tin tham gia tuyển chọn hoặc thực hiện theo phương thức giao trực tiếp theo quy định của pháp luật. Nội dung Điều 10 không quy định thêm thẩm quyền hoặc trình tự ngoài phạm vi được Chính phủ giao mà chỉ cụ thể hóa cơ chế tổ chức thực hiện tại địa phương</w:t>
            </w:r>
            <w:r w:rsidR="00DB1E29" w:rsidRPr="00DB1E29">
              <w:rPr>
                <w:rFonts w:ascii="Times New Roman" w:hAnsi="Times New Roman"/>
                <w:color w:val="000000" w:themeColor="text1"/>
                <w:sz w:val="26"/>
                <w:szCs w:val="26"/>
              </w:rPr>
              <w:t>.</w:t>
            </w:r>
          </w:p>
        </w:tc>
      </w:tr>
      <w:tr w:rsidR="005A3F3D" w:rsidRPr="00DB1E29" w14:paraId="408287BD" w14:textId="77777777" w:rsidTr="009E036A">
        <w:tc>
          <w:tcPr>
            <w:tcW w:w="1080" w:type="dxa"/>
          </w:tcPr>
          <w:p w14:paraId="7C7B89DE" w14:textId="587561CE" w:rsidR="005A3F3D" w:rsidRPr="00DB1E29" w:rsidRDefault="005A3F3D" w:rsidP="00BA5EFB">
            <w:pPr>
              <w:spacing w:after="0" w:line="240" w:lineRule="auto"/>
              <w:rPr>
                <w:rFonts w:ascii="Times New Roman" w:hAnsi="Times New Roman"/>
                <w:color w:val="000000" w:themeColor="text1"/>
                <w:sz w:val="26"/>
                <w:szCs w:val="26"/>
              </w:rPr>
            </w:pPr>
            <w:r w:rsidRPr="00DB1E29">
              <w:rPr>
                <w:rFonts w:ascii="Times New Roman" w:hAnsi="Times New Roman"/>
                <w:color w:val="000000" w:themeColor="text1"/>
                <w:sz w:val="26"/>
                <w:szCs w:val="26"/>
              </w:rPr>
              <w:lastRenderedPageBreak/>
              <w:t>11</w:t>
            </w:r>
          </w:p>
        </w:tc>
        <w:tc>
          <w:tcPr>
            <w:tcW w:w="3400" w:type="dxa"/>
          </w:tcPr>
          <w:p w14:paraId="2A650C7A" w14:textId="05B348FC" w:rsidR="005A3F3D" w:rsidRPr="00DB1E29" w:rsidRDefault="00DB1E29"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Khoản 2, khoản 4, khoản 5 và khoản 6 Điều 10 Nghị định số 267/2025/NĐ-CP quy định về thông báo kế hoạch tài trợ nhiệm vụ khoa học, công nghệ và đổi mới sáng tạo, nội dung thông báo và hình thức công khai đối với từng loại nhiệm vụ; chưa quy định cụ thể trách nhiệm tổ chức thực hiện tại địa phương</w:t>
            </w:r>
          </w:p>
        </w:tc>
        <w:tc>
          <w:tcPr>
            <w:tcW w:w="2819" w:type="dxa"/>
          </w:tcPr>
          <w:p w14:paraId="019C5D7F" w14:textId="5DB33DDC" w:rsidR="005A3F3D" w:rsidRPr="00DB1E29" w:rsidRDefault="005A3F3D"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 xml:space="preserve">Điều 11. </w:t>
            </w:r>
            <w:r w:rsidR="00705B4A" w:rsidRPr="00DB1E29">
              <w:rPr>
                <w:rFonts w:ascii="Times New Roman" w:hAnsi="Times New Roman"/>
                <w:color w:val="000000" w:themeColor="text1"/>
                <w:sz w:val="26"/>
                <w:szCs w:val="26"/>
              </w:rPr>
              <w:t>Thông báo kế hoạch tài trợ nhiệm vụ khoa học, công nghệ và đổi mới sáng tạo</w:t>
            </w:r>
          </w:p>
        </w:tc>
        <w:tc>
          <w:tcPr>
            <w:tcW w:w="7191" w:type="dxa"/>
          </w:tcPr>
          <w:p w14:paraId="3EE2A8BE" w14:textId="77777777" w:rsidR="009D1BDE" w:rsidRPr="00DB1E29" w:rsidRDefault="009D1BDE" w:rsidP="009D1BDE">
            <w:pPr>
              <w:rPr>
                <w:rFonts w:ascii="Times New Roman" w:hAnsi="Times New Roman"/>
                <w:color w:val="000000" w:themeColor="text1"/>
                <w:sz w:val="26"/>
                <w:szCs w:val="26"/>
              </w:rPr>
            </w:pPr>
            <w:r w:rsidRPr="00DB1E29">
              <w:rPr>
                <w:rFonts w:ascii="Times New Roman" w:hAnsi="Times New Roman"/>
                <w:color w:val="000000" w:themeColor="text1"/>
                <w:sz w:val="26"/>
                <w:szCs w:val="26"/>
              </w:rPr>
              <w:t>Điều này được xây dựng trên cơ sở khoản 2, khoản 4, khoản 5 và khoản 6 Điều 10 Nghị định số 267/2025/NĐ-CP nhằm cụ thể hóa việc tổ chức thông báo kế hoạch tài trợ nhiệm vụ khoa học, công nghệ và đổi mới sáng tạo trên địa bàn tỉnh.</w:t>
            </w:r>
          </w:p>
          <w:p w14:paraId="18704596" w14:textId="77777777" w:rsidR="009D1BDE" w:rsidRPr="00DB1E29" w:rsidRDefault="009D1BDE" w:rsidP="009D1BDE">
            <w:pPr>
              <w:rPr>
                <w:rFonts w:ascii="Times New Roman" w:hAnsi="Times New Roman"/>
                <w:color w:val="000000" w:themeColor="text1"/>
                <w:sz w:val="26"/>
                <w:szCs w:val="26"/>
              </w:rPr>
            </w:pPr>
            <w:r w:rsidRPr="00DB1E29">
              <w:rPr>
                <w:rFonts w:ascii="Times New Roman" w:hAnsi="Times New Roman"/>
                <w:color w:val="000000" w:themeColor="text1"/>
                <w:sz w:val="26"/>
                <w:szCs w:val="26"/>
              </w:rPr>
              <w:t>Dự thảo quy định căn cứ xây dựng kế hoạch tài trợ; trách nhiệm của Sở Khoa học và Công nghệ trong việc thông báo và công khai kế hoạch tài trợ; hình thức công khai và nội dung thông báo đối với từng loại nhiệm vụ khoa học, công nghệ và đổi mới sáng tạo, bao gồm nhiệm vụ thông thường, nhiệm vụ trong khuôn khổ hợp tác quốc tế, cụm nhiệm vụ, chuỗi nhiệm vụ, nhiệm vụ giải mã công nghệ và nhiệm vụ mua bí quyết công nghệ theo quy định của Nghị định số 267/2025/NĐ-CP.</w:t>
            </w:r>
          </w:p>
          <w:p w14:paraId="66BB74F3" w14:textId="7FBF4DA7" w:rsidR="005A3F3D" w:rsidRPr="00DB1E29" w:rsidRDefault="009D1BDE" w:rsidP="00BA5EFB">
            <w:pPr>
              <w:rPr>
                <w:rFonts w:ascii="Times New Roman" w:hAnsi="Times New Roman"/>
                <w:color w:val="000000" w:themeColor="text1"/>
                <w:sz w:val="26"/>
                <w:szCs w:val="26"/>
              </w:rPr>
            </w:pPr>
            <w:r w:rsidRPr="00DB1E29">
              <w:rPr>
                <w:rFonts w:ascii="Times New Roman" w:hAnsi="Times New Roman"/>
                <w:color w:val="000000" w:themeColor="text1"/>
                <w:sz w:val="26"/>
                <w:szCs w:val="26"/>
              </w:rPr>
              <w:t xml:space="preserve">Việc quy định cụ thể nội dung thông báo và trách nhiệm tổ chức thực hiện nhằm bảo đảm các tổ chức, doanh nghiệp và cá nhân có đầy đủ thông tin để đăng ký tham gia thực hiện nhiệm vụ; đồng thời bảo đảm việc tổ chức tài trợ nhiệm vụ khoa học, công nghệ và đổi mới sáng tạo được thực hiện thống nhất, công khai và minh bạch trên địa bàn tỉnh. Nội dung Điều 11 chỉ cụ thể hóa quy định của Nghị định số 267/2025/NĐ-CP theo thẩm quyền của Ủy ban nhân dân tỉnh, không đặt ra quy định, điều kiện hoặc trình tự mới </w:t>
            </w:r>
            <w:r w:rsidRPr="00DB1E29">
              <w:rPr>
                <w:rFonts w:ascii="Times New Roman" w:hAnsi="Times New Roman"/>
                <w:color w:val="000000" w:themeColor="text1"/>
                <w:sz w:val="26"/>
                <w:szCs w:val="26"/>
              </w:rPr>
              <w:lastRenderedPageBreak/>
              <w:t>ngoài quy định của pháp luật hiện hành.</w:t>
            </w:r>
          </w:p>
        </w:tc>
      </w:tr>
      <w:tr w:rsidR="005A3F3D" w:rsidRPr="00792B9B" w14:paraId="4C752E43" w14:textId="77777777" w:rsidTr="009E036A">
        <w:tc>
          <w:tcPr>
            <w:tcW w:w="1080" w:type="dxa"/>
          </w:tcPr>
          <w:p w14:paraId="0530C501" w14:textId="72BA240B" w:rsidR="005A3F3D" w:rsidRPr="00792B9B" w:rsidRDefault="005A3F3D" w:rsidP="00BA5EFB">
            <w:pPr>
              <w:spacing w:after="0" w:line="240" w:lineRule="auto"/>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12</w:t>
            </w:r>
          </w:p>
        </w:tc>
        <w:tc>
          <w:tcPr>
            <w:tcW w:w="3400" w:type="dxa"/>
          </w:tcPr>
          <w:p w14:paraId="3B026C7D" w14:textId="7EC57B62" w:rsidR="005A3F3D" w:rsidRPr="00792B9B" w:rsidRDefault="005A3F3D"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11, Điều 12, Điều 13, Điều 14 và Điều 15 Nghị định số 267/2025/NĐ-CP quy định về hồ sơ, trình tự xét tài trợ, đặt hàng, thẩm định kinh phí, phê duyệt kết quả và ký hợp đồng giao nhiệm vụ; Thông tư số 36/2025/TT-BKHCN quy định trình tự, biểu mẫu và hồ sơ phục vụ hoạt động xét tài trợ, đặt hàng. Chưa có quy định cụ thể về tổ chức thực hiện tại địa phương</w:t>
            </w:r>
          </w:p>
        </w:tc>
        <w:tc>
          <w:tcPr>
            <w:tcW w:w="2819" w:type="dxa"/>
          </w:tcPr>
          <w:p w14:paraId="6708C8EE" w14:textId="046FA86E" w:rsidR="005A3F3D" w:rsidRPr="00792B9B" w:rsidRDefault="005A3F3D"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 xml:space="preserve">Điều 12. </w:t>
            </w:r>
            <w:r w:rsidR="00705B4A" w:rsidRPr="00792B9B">
              <w:rPr>
                <w:rFonts w:ascii="Times New Roman" w:hAnsi="Times New Roman"/>
                <w:color w:val="000000" w:themeColor="text1"/>
                <w:sz w:val="26"/>
                <w:szCs w:val="26"/>
              </w:rPr>
              <w:t>Xét tài trợ, đặt hàng, thẩm định kinh phí nhiệm vụ khoa học, công nghệ và đổi mới sáng tạo</w:t>
            </w:r>
          </w:p>
        </w:tc>
        <w:tc>
          <w:tcPr>
            <w:tcW w:w="7191" w:type="dxa"/>
          </w:tcPr>
          <w:p w14:paraId="5192A0BF" w14:textId="2F3BDC13" w:rsidR="00873C94" w:rsidRPr="00792B9B" w:rsidRDefault="00873C94" w:rsidP="00873C94">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này nhằm cụ thể hóa việc tổ chức thông báo kế hoạch tài trợ nhiệm vụ khoa học, công nghệ và đổi mới sáng tạo trên địa bàn tỉnh.</w:t>
            </w:r>
          </w:p>
          <w:p w14:paraId="012DA0DF" w14:textId="77777777" w:rsidR="00873C94" w:rsidRPr="00792B9B" w:rsidRDefault="00873C94" w:rsidP="00873C94">
            <w:pPr>
              <w:rPr>
                <w:rFonts w:ascii="Times New Roman" w:hAnsi="Times New Roman"/>
                <w:color w:val="000000" w:themeColor="text1"/>
                <w:sz w:val="26"/>
                <w:szCs w:val="26"/>
              </w:rPr>
            </w:pPr>
            <w:r w:rsidRPr="00792B9B">
              <w:rPr>
                <w:rFonts w:ascii="Times New Roman" w:hAnsi="Times New Roman"/>
                <w:color w:val="000000" w:themeColor="text1"/>
                <w:sz w:val="26"/>
                <w:szCs w:val="26"/>
              </w:rPr>
              <w:t>Dự thảo quy định căn cứ xây dựng kế hoạch tài trợ; trách nhiệm của Sở Khoa học và Công nghệ trong việc thông báo và công khai kế hoạch tài trợ; hình thức công khai và nội dung thông báo đối với từng loại nhiệm vụ khoa học, công nghệ và đổi mới sáng tạo, bao gồm nhiệm vụ thông thường, nhiệm vụ trong khuôn khổ hợp tác quốc tế, cụm nhiệm vụ, chuỗi nhiệm vụ, nhiệm vụ giải mã công nghệ và nhiệm vụ mua bí quyết công nghệ theo quy định của Nghị định số 267/2025/NĐ-CP.</w:t>
            </w:r>
          </w:p>
          <w:p w14:paraId="57114447" w14:textId="16CFE013" w:rsidR="005A3F3D" w:rsidRPr="00792B9B" w:rsidRDefault="00873C94"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Việc quy định cụ thể nội dung thông báo và trách nhiệm tổ chức thực hiện nhằm bảo đảm các tổ chức, doanh nghiệp và cá nhân có đầy đủ thông tin để đăng ký tham gia thực hiện nhiệm vụ; đồng thời bảo đảm việc tổ chức tài trợ nhiệm vụ khoa học, công nghệ và đổi mới sáng tạo được thực hiện thống nhất, công khai và minh bạch trên địa bàn tỉnh. Nội dung Điều 11 chỉ cụ thể hóa quy định của Nghị định số 267/2025/NĐ-CP theo thẩm quyền của Ủy ban nhân dân tỉnh, không đặt ra quy định, điều kiện hoặc trình tự mới ngoài quy định của pháp luật hiện hành.</w:t>
            </w:r>
          </w:p>
        </w:tc>
      </w:tr>
      <w:tr w:rsidR="005A3F3D" w:rsidRPr="00EC1B57" w14:paraId="38A2CF62" w14:textId="77777777" w:rsidTr="009E036A">
        <w:tc>
          <w:tcPr>
            <w:tcW w:w="1080" w:type="dxa"/>
          </w:tcPr>
          <w:p w14:paraId="5A701D31" w14:textId="59FE913E" w:rsidR="005A3F3D" w:rsidRPr="00EC1B57" w:rsidRDefault="005A3F3D" w:rsidP="00BA5EFB">
            <w:pPr>
              <w:spacing w:after="0" w:line="240" w:lineRule="auto"/>
              <w:rPr>
                <w:rFonts w:ascii="Times New Roman" w:hAnsi="Times New Roman"/>
                <w:color w:val="000000" w:themeColor="text1"/>
                <w:sz w:val="26"/>
                <w:szCs w:val="26"/>
              </w:rPr>
            </w:pPr>
            <w:r w:rsidRPr="00EC1B57">
              <w:rPr>
                <w:rFonts w:ascii="Times New Roman" w:hAnsi="Times New Roman"/>
                <w:color w:val="000000" w:themeColor="text1"/>
                <w:sz w:val="26"/>
                <w:szCs w:val="26"/>
              </w:rPr>
              <w:t>13</w:t>
            </w:r>
          </w:p>
        </w:tc>
        <w:tc>
          <w:tcPr>
            <w:tcW w:w="3400" w:type="dxa"/>
          </w:tcPr>
          <w:p w14:paraId="1A1CBA1E" w14:textId="5C6B7EDA" w:rsidR="005A3F3D" w:rsidRPr="00EC1B57" w:rsidRDefault="005A3F3D"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t xml:space="preserve">Điều 13, Điều 14 Nghị định số 267/2025/NĐ-CP quy định về thẩm định kinh phí, phê duyệt nhiệm vụ, thông báo kết quả phê duyệt, khảo sát năng lực tổ chức đăng ký chủ trì và </w:t>
            </w:r>
            <w:r w:rsidRPr="00EC1B57">
              <w:rPr>
                <w:rFonts w:ascii="Times New Roman" w:hAnsi="Times New Roman"/>
                <w:color w:val="000000" w:themeColor="text1"/>
                <w:sz w:val="26"/>
                <w:szCs w:val="26"/>
              </w:rPr>
              <w:lastRenderedPageBreak/>
              <w:t>hủy kết quả xét tài trợ, đặt hàng. Thông tư số 36/2025/TT-BKHCN quy định hồ sơ, biểu mẫu và quy trình thẩm định, phê duyệt nhiệm vụ. Chưa có quy định cụ thể về tổ chức thực hiện tại địa phương.</w:t>
            </w:r>
          </w:p>
        </w:tc>
        <w:tc>
          <w:tcPr>
            <w:tcW w:w="2819" w:type="dxa"/>
          </w:tcPr>
          <w:p w14:paraId="5B1CD827" w14:textId="5CD52813" w:rsidR="005A3F3D" w:rsidRPr="00EC1B57" w:rsidRDefault="005A3F3D"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lastRenderedPageBreak/>
              <w:t xml:space="preserve">Điều 13. </w:t>
            </w:r>
            <w:r w:rsidR="00705B4A" w:rsidRPr="00EC1B57">
              <w:rPr>
                <w:rFonts w:ascii="Times New Roman" w:hAnsi="Times New Roman"/>
                <w:color w:val="000000" w:themeColor="text1"/>
                <w:sz w:val="26"/>
                <w:szCs w:val="26"/>
              </w:rPr>
              <w:t>Phê duyệt, hủy kết quả xét tài trợ, đặt hàng nhiệm vụ khoa học, công nghệ và đổi mới sáng tạo</w:t>
            </w:r>
          </w:p>
        </w:tc>
        <w:tc>
          <w:tcPr>
            <w:tcW w:w="7191" w:type="dxa"/>
          </w:tcPr>
          <w:p w14:paraId="698F8152" w14:textId="22EE51DB" w:rsidR="00873C94" w:rsidRPr="00EC1B57" w:rsidRDefault="00873C94" w:rsidP="00873C94">
            <w:pPr>
              <w:rPr>
                <w:rFonts w:ascii="Times New Roman" w:hAnsi="Times New Roman"/>
                <w:color w:val="000000" w:themeColor="text1"/>
                <w:sz w:val="26"/>
                <w:szCs w:val="26"/>
              </w:rPr>
            </w:pPr>
            <w:r w:rsidRPr="00EC1B57">
              <w:rPr>
                <w:rFonts w:ascii="Times New Roman" w:hAnsi="Times New Roman"/>
                <w:color w:val="000000" w:themeColor="text1"/>
                <w:sz w:val="26"/>
                <w:szCs w:val="26"/>
              </w:rPr>
              <w:t>Điều này được xây dựng trên cơ sở Điều 13, Điều 14 Nghị định số 267/2025/NĐ-CP và Thông tư số 36/2025/TT-BKHCN nhằm cụ thể hóa trình tự phê duyệt, thông báo kết quả phê duyệt, khảo sát năng lực tổ chức đăng ký chủ trì và hủy kết quả xét tài trợ, đặt hàng nhiệm vụ khoa học, công nghệ và đổi mới sáng tạo theo thẩm quyền của Ủy ban nhân dân tỉnh.</w:t>
            </w:r>
          </w:p>
          <w:p w14:paraId="416122A5" w14:textId="77777777" w:rsidR="00873C94" w:rsidRPr="00EC1B57" w:rsidRDefault="00873C94" w:rsidP="00873C94">
            <w:pPr>
              <w:rPr>
                <w:rFonts w:ascii="Times New Roman" w:hAnsi="Times New Roman"/>
                <w:color w:val="000000" w:themeColor="text1"/>
                <w:sz w:val="26"/>
                <w:szCs w:val="26"/>
              </w:rPr>
            </w:pPr>
            <w:r w:rsidRPr="00EC1B57">
              <w:rPr>
                <w:rFonts w:ascii="Times New Roman" w:hAnsi="Times New Roman"/>
                <w:color w:val="000000" w:themeColor="text1"/>
                <w:sz w:val="26"/>
                <w:szCs w:val="26"/>
              </w:rPr>
              <w:lastRenderedPageBreak/>
              <w:t>Dự thảo quy định cụ thể thành phần hồ sơ trình phê duyệt nhiệm vụ; trách nhiệm của Sở Khoa học và Công nghệ trong việc tổng hợp kết quả xét tài trợ, đặt hàng, hoàn thiện hồ sơ trình Ủy ban nhân dân tỉnh xem xét, quyết định; việc khảo sát năng lực của tổ chức đăng ký chủ trì trong trường hợp cần thiết; trách nhiệm thông báo và công khai kết quả phê duyệt; các trường hợp hủy kết quả xét tài trợ, đặt hàng và việc sử dụng các biểu mẫu theo quy định của Thông tư số 36/2025/TT-BKHCN.</w:t>
            </w:r>
          </w:p>
          <w:p w14:paraId="7C9D4667" w14:textId="110276F2" w:rsidR="005A3F3D" w:rsidRPr="00EC1B57" w:rsidRDefault="00873C94"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t>Việc quy định cụ thể các nội dung trên nhằm bảo đảm việc phê duyệt nhiệm vụ khoa học, công nghệ và đổi mới sáng tạo được thực hiện đúng thẩm quyền, thống nhất trong tổ chức thực hiện, đồng thời xác định rõ trách nhiệm của cơ quan quản lý và tổ chức đăng ký chủ trì trong từng giai đoạn của quá trình lựa chọn nhiệm vụ. Nội dung Điều 13 chỉ cụ thể hóa trình tự tổ chức thực hiện theo quy định của Nghị định số 267/2025/NĐ-CP và Thông tư số 36/2025/TT-BKHCN, không quy định thêm điều kiện, hồ sơ hoặc thẩm quyền ngoài phạm vi được pháp luật giao, bảo đảm tính hợp pháp, thống nhất và khả thi trong quá trình triển khai trên địa bàn tỉnh.</w:t>
            </w:r>
          </w:p>
        </w:tc>
      </w:tr>
      <w:tr w:rsidR="005A3F3D" w:rsidRPr="00EC1B57" w14:paraId="6FFC6AFB" w14:textId="77777777" w:rsidTr="009E036A">
        <w:tc>
          <w:tcPr>
            <w:tcW w:w="1080" w:type="dxa"/>
          </w:tcPr>
          <w:p w14:paraId="69017341" w14:textId="01DDDC25" w:rsidR="005A3F3D" w:rsidRPr="00EC1B57" w:rsidRDefault="005A3F3D" w:rsidP="00BA5EFB">
            <w:pPr>
              <w:spacing w:after="0" w:line="240" w:lineRule="auto"/>
              <w:rPr>
                <w:rFonts w:ascii="Times New Roman" w:hAnsi="Times New Roman"/>
                <w:color w:val="000000" w:themeColor="text1"/>
                <w:sz w:val="26"/>
                <w:szCs w:val="26"/>
              </w:rPr>
            </w:pPr>
            <w:r w:rsidRPr="00EC1B57">
              <w:rPr>
                <w:rFonts w:ascii="Times New Roman" w:hAnsi="Times New Roman"/>
                <w:color w:val="000000" w:themeColor="text1"/>
                <w:sz w:val="26"/>
                <w:szCs w:val="26"/>
              </w:rPr>
              <w:lastRenderedPageBreak/>
              <w:t>14</w:t>
            </w:r>
          </w:p>
        </w:tc>
        <w:tc>
          <w:tcPr>
            <w:tcW w:w="3400" w:type="dxa"/>
          </w:tcPr>
          <w:p w14:paraId="77AF66FE" w14:textId="5D23E870" w:rsidR="005A3F3D" w:rsidRPr="00EC1B57" w:rsidRDefault="005A3F3D"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t xml:space="preserve">Điều 15 và khoản 6 Điều 16 Nghị định số 267/2025/NĐ-CP quy định về ký hợp đồng giao nhiệm vụ, cấp kinh phí, đánh giá trong kỳ, điều chỉnh hợp đồng và thẩm quyền quyết định điều chỉnh; Thông tư số 36/2025/TT-BKHCN quy định biểu mẫu hợp đồng, </w:t>
            </w:r>
            <w:r w:rsidRPr="00EC1B57">
              <w:rPr>
                <w:rFonts w:ascii="Times New Roman" w:hAnsi="Times New Roman"/>
                <w:color w:val="000000" w:themeColor="text1"/>
                <w:sz w:val="26"/>
                <w:szCs w:val="26"/>
              </w:rPr>
              <w:lastRenderedPageBreak/>
              <w:t>báo cáo và đánh giá.</w:t>
            </w:r>
          </w:p>
        </w:tc>
        <w:tc>
          <w:tcPr>
            <w:tcW w:w="2819" w:type="dxa"/>
          </w:tcPr>
          <w:p w14:paraId="1F0F0B12" w14:textId="0D132BED" w:rsidR="005A3F3D" w:rsidRPr="00EC1B57" w:rsidRDefault="00873C94"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lastRenderedPageBreak/>
              <w:t xml:space="preserve">Điều 14. </w:t>
            </w:r>
            <w:r w:rsidR="00DA2EF6" w:rsidRPr="00EC1B57">
              <w:rPr>
                <w:rFonts w:ascii="Times New Roman" w:hAnsi="Times New Roman"/>
                <w:color w:val="000000" w:themeColor="text1"/>
                <w:sz w:val="26"/>
                <w:szCs w:val="26"/>
              </w:rPr>
              <w:t>Ký hợp đồng, đánh giá trong kỳ, cấp tiếp kinh phí và điều chỉnh hợp đồng giao nhiệm vụ khoa học, công nghệ và đổi mới sáng tạo</w:t>
            </w:r>
          </w:p>
        </w:tc>
        <w:tc>
          <w:tcPr>
            <w:tcW w:w="7191" w:type="dxa"/>
          </w:tcPr>
          <w:p w14:paraId="58B3C8D9" w14:textId="77777777" w:rsidR="00873C94" w:rsidRPr="00EC1B57" w:rsidRDefault="00873C94" w:rsidP="00873C94">
            <w:pPr>
              <w:rPr>
                <w:rFonts w:ascii="Times New Roman" w:hAnsi="Times New Roman"/>
                <w:color w:val="000000" w:themeColor="text1"/>
                <w:sz w:val="26"/>
                <w:szCs w:val="26"/>
              </w:rPr>
            </w:pPr>
            <w:r w:rsidRPr="00EC1B57">
              <w:rPr>
                <w:rFonts w:ascii="Times New Roman" w:hAnsi="Times New Roman"/>
                <w:color w:val="000000" w:themeColor="text1"/>
                <w:sz w:val="26"/>
                <w:szCs w:val="26"/>
              </w:rPr>
              <w:t>Điều này được xây dựng trên cơ sở Điều 15 và khoản 6 Điều 16 Nghị định số 267/2025/NĐ-CP và Thông tư số 36/2025/TT-BKHCN nhằm cụ thể hóa trình tự tổ chức thực hiện sau khi nhiệm vụ khoa học, công nghệ và đổi mới sáng tạo được cấp có thẩm quyền phê duyệt.</w:t>
            </w:r>
          </w:p>
          <w:p w14:paraId="042D161C" w14:textId="77777777" w:rsidR="00873C94" w:rsidRPr="00EC1B57" w:rsidRDefault="00873C94" w:rsidP="00873C94">
            <w:pPr>
              <w:rPr>
                <w:rFonts w:ascii="Times New Roman" w:hAnsi="Times New Roman"/>
                <w:color w:val="000000" w:themeColor="text1"/>
                <w:sz w:val="26"/>
                <w:szCs w:val="26"/>
              </w:rPr>
            </w:pPr>
            <w:r w:rsidRPr="00EC1B57">
              <w:rPr>
                <w:rFonts w:ascii="Times New Roman" w:hAnsi="Times New Roman"/>
                <w:color w:val="000000" w:themeColor="text1"/>
                <w:sz w:val="26"/>
                <w:szCs w:val="26"/>
              </w:rPr>
              <w:t xml:space="preserve">Dự thảo quy định cụ thể thời hạn ký hợp đồng giao nhiệm vụ; việc phê duyệt thuyết minh; cấp kinh phí thực hiện nhiệm vụ; trách nhiệm của tổ chức chủ trì, chủ nhiệm nhiệm vụ trong quá trình tổ chức thực hiện; việc đánh giá trong kỳ, cấp tiếp kinh phí trên cơ sở </w:t>
            </w:r>
            <w:r w:rsidRPr="00EC1B57">
              <w:rPr>
                <w:rFonts w:ascii="Times New Roman" w:hAnsi="Times New Roman"/>
                <w:color w:val="000000" w:themeColor="text1"/>
                <w:sz w:val="26"/>
                <w:szCs w:val="26"/>
              </w:rPr>
              <w:lastRenderedPageBreak/>
              <w:t>kết quả đánh giá; thẩm quyền điều chỉnh hợp đồng của Ủy ban nhân dân tỉnh và Sở Khoa học và Công nghệ theo quy định của pháp luật; đồng thời quy định việc sử dụng các biểu mẫu thống nhất theo Thông tư số 36/2025/TT-BKHCN.</w:t>
            </w:r>
          </w:p>
          <w:p w14:paraId="1F28817D" w14:textId="56761F45" w:rsidR="005A3F3D" w:rsidRPr="00EC1B57" w:rsidRDefault="00873C94"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t>Việc quy định cụ thể các nội dung trên nhằm bảo đảm thống nhất trong quá trình tổ chức thực hiện nhiệm vụ khoa học, công nghệ và đổi mới sáng tạo sau khi được phê duyệt; xác định rõ trách nhiệm của cơ quan quản lý, tổ chức chủ trì và chủ nhiệm nhiệm vụ trong quá trình thực hiện; đồng thời bảo đảm việc điều chỉnh hợp đồng và cấp kinh phí được thực hiện đúng thẩm quyền, đúng căn cứ và phù hợp với kết quả thực hiện nhiệm vụ. Nội dung Điều 14 chỉ cụ thể hóa trình tự tổ chức thực hiện theo quy định của Nghị định số 267/2025/NĐ-CP và Thông tư số 36/2025/TT-BKHCN, không quy định thêm điều kiện, thẩm quyền hoặc trình tự ngoài phạm vi được pháp luật giao</w:t>
            </w:r>
            <w:r w:rsidR="008F42E6" w:rsidRPr="00EC1B57">
              <w:rPr>
                <w:rFonts w:ascii="Times New Roman" w:hAnsi="Times New Roman"/>
                <w:color w:val="000000" w:themeColor="text1"/>
                <w:sz w:val="26"/>
                <w:szCs w:val="26"/>
              </w:rPr>
              <w:t>.</w:t>
            </w:r>
          </w:p>
        </w:tc>
      </w:tr>
      <w:tr w:rsidR="005A3F3D" w:rsidRPr="00EC1B57" w14:paraId="288B16C9" w14:textId="77777777" w:rsidTr="009E036A">
        <w:tc>
          <w:tcPr>
            <w:tcW w:w="1080" w:type="dxa"/>
          </w:tcPr>
          <w:p w14:paraId="32B1145A" w14:textId="09C26C28" w:rsidR="005A3F3D" w:rsidRPr="00EC1B57" w:rsidRDefault="005A3F3D" w:rsidP="00BA5EFB">
            <w:pPr>
              <w:spacing w:after="0" w:line="240" w:lineRule="auto"/>
              <w:rPr>
                <w:rFonts w:ascii="Times New Roman" w:hAnsi="Times New Roman"/>
                <w:color w:val="000000" w:themeColor="text1"/>
                <w:sz w:val="26"/>
                <w:szCs w:val="26"/>
              </w:rPr>
            </w:pPr>
            <w:r w:rsidRPr="00EC1B57">
              <w:rPr>
                <w:rFonts w:ascii="Times New Roman" w:hAnsi="Times New Roman"/>
                <w:color w:val="000000" w:themeColor="text1"/>
                <w:sz w:val="26"/>
                <w:szCs w:val="26"/>
              </w:rPr>
              <w:t>15</w:t>
            </w:r>
          </w:p>
        </w:tc>
        <w:tc>
          <w:tcPr>
            <w:tcW w:w="3400" w:type="dxa"/>
          </w:tcPr>
          <w:p w14:paraId="4E668255" w14:textId="5C0DC681" w:rsidR="005A3F3D" w:rsidRPr="00EC1B57" w:rsidRDefault="009E036A"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t>Điều 16 Nghị định số 267/2025/NĐ-CP quy định về đánh giá trong quá trình thực hiện, đánh giá cuối kỳ và đánh giá hiệu quả đầu ra của nhiệm vụ khoa học, công nghệ và đổi mới sáng tạo; Thông tư số 36/2025/TT-BKHCN quy định hồ sơ, trình tự, biểu mẫu đánh giá. Chưa có quy định cụ thể của UBND tỉnh về tổ chức thực hiện tại địa phương.</w:t>
            </w:r>
          </w:p>
        </w:tc>
        <w:tc>
          <w:tcPr>
            <w:tcW w:w="2819" w:type="dxa"/>
          </w:tcPr>
          <w:p w14:paraId="4DA2D537" w14:textId="5B74A838" w:rsidR="005A3F3D" w:rsidRPr="00EC1B57" w:rsidRDefault="00873C94"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t xml:space="preserve">Điều 15. </w:t>
            </w:r>
            <w:r w:rsidR="00DA2EF6" w:rsidRPr="00EC1B57">
              <w:rPr>
                <w:rFonts w:ascii="Times New Roman" w:hAnsi="Times New Roman"/>
                <w:color w:val="000000" w:themeColor="text1"/>
                <w:sz w:val="26"/>
                <w:szCs w:val="26"/>
              </w:rPr>
              <w:t>Đánh giá cuối kỳ và đánh giá hiệu quả đầu ra nhiệm vụ khoa học, công nghệ và đổi mới sáng tạo</w:t>
            </w:r>
          </w:p>
        </w:tc>
        <w:tc>
          <w:tcPr>
            <w:tcW w:w="7191" w:type="dxa"/>
          </w:tcPr>
          <w:p w14:paraId="1F10FF9D" w14:textId="77777777" w:rsidR="00DA2EF6" w:rsidRPr="00EC1B57" w:rsidRDefault="00DA2EF6" w:rsidP="00DA2EF6">
            <w:pPr>
              <w:rPr>
                <w:rFonts w:ascii="Times New Roman" w:hAnsi="Times New Roman"/>
                <w:color w:val="000000" w:themeColor="text1"/>
                <w:sz w:val="26"/>
                <w:szCs w:val="26"/>
              </w:rPr>
            </w:pPr>
            <w:r w:rsidRPr="00EC1B57">
              <w:rPr>
                <w:rFonts w:ascii="Times New Roman" w:hAnsi="Times New Roman"/>
                <w:color w:val="000000" w:themeColor="text1"/>
                <w:sz w:val="26"/>
                <w:szCs w:val="26"/>
              </w:rPr>
              <w:t>Điều này được xây dựng trên cơ sở Điều 16 Nghị định số 267/2025/NĐ-CP và Thông tư số 36/2025/TT-BKHCN nhằm cụ thể hóa việc tổ chức đánh giá cuối kỳ và đánh giá hiệu quả đầu ra đối với nhiệm vụ khoa học, công nghệ và đổi mới sáng tạo sử dụng ngân sách nhà nước trên địa bàn tỉnh.</w:t>
            </w:r>
          </w:p>
          <w:p w14:paraId="6A2AD9E9" w14:textId="77777777" w:rsidR="00DA2EF6" w:rsidRPr="00EC1B57" w:rsidRDefault="00DA2EF6" w:rsidP="00DA2EF6">
            <w:pPr>
              <w:rPr>
                <w:rFonts w:ascii="Times New Roman" w:hAnsi="Times New Roman"/>
                <w:color w:val="000000" w:themeColor="text1"/>
                <w:sz w:val="26"/>
                <w:szCs w:val="26"/>
              </w:rPr>
            </w:pPr>
            <w:r w:rsidRPr="00EC1B57">
              <w:rPr>
                <w:rFonts w:ascii="Times New Roman" w:hAnsi="Times New Roman"/>
                <w:color w:val="000000" w:themeColor="text1"/>
                <w:sz w:val="26"/>
                <w:szCs w:val="26"/>
              </w:rPr>
              <w:t>Dự thảo quy định cụ thể hồ sơ đánh giá; trình tự tổ chức đánh giá; thành phần Hội đồng tư vấn đánh giá; trách nhiệm của Sở Khoa học và Công nghệ, tổ chức chủ trì, chủ nhiệm nhiệm vụ trong việc chuẩn bị hồ sơ, tổ chức đánh giá và hoàn thiện kết quả sau đánh giá; đồng thời quy định việc sử dụng các biểu mẫu thống nhất theo Thông tư số 36/2025/TT-BKHCN trong quá trình đánh giá cuối kỳ và đánh giá hiệu quả đầu ra của nhiệm vụ.</w:t>
            </w:r>
          </w:p>
          <w:p w14:paraId="7ADA6CC1" w14:textId="2CA821D5" w:rsidR="005A3F3D" w:rsidRPr="00EC1B57" w:rsidRDefault="00DA2EF6" w:rsidP="00BA5EFB">
            <w:pPr>
              <w:rPr>
                <w:rFonts w:ascii="Times New Roman" w:hAnsi="Times New Roman"/>
                <w:color w:val="000000" w:themeColor="text1"/>
                <w:sz w:val="26"/>
                <w:szCs w:val="26"/>
              </w:rPr>
            </w:pPr>
            <w:r w:rsidRPr="00EC1B57">
              <w:rPr>
                <w:rFonts w:ascii="Times New Roman" w:hAnsi="Times New Roman"/>
                <w:color w:val="000000" w:themeColor="text1"/>
                <w:sz w:val="26"/>
                <w:szCs w:val="26"/>
              </w:rPr>
              <w:lastRenderedPageBreak/>
              <w:t>Việc quy định cụ thể trình tự, trách nhiệm và phương thức tổ chức đánh giá nhằm bảo đảm việc đánh giá kết quả thực hiện nhiệm vụ được tiến hành khách quan, công khai, đúng quy định; phản ánh đầy đủ mức độ hoàn thành mục tiêu, kết quả nghiên cứu, khả năng ứng dụng và hiệu quả đầu ra của nhiệm vụ khoa học, công nghệ và đổi mới sáng tạo. Nội dung Điều 15 chỉ cụ thể hóa cơ chế tổ chức thực hiện theo quy định của Nghị định số 267/2025/NĐ-CP và Thông tư số 36/2025/TT-BKHCN, không quy định thêm tiêu chí đánh giá, thành phần hồ sơ hoặc thẩm quyền ngoài phạm vi được pháp luật giao.</w:t>
            </w:r>
          </w:p>
        </w:tc>
      </w:tr>
      <w:tr w:rsidR="004F17AB" w:rsidRPr="00792B9B" w14:paraId="19001310" w14:textId="77777777" w:rsidTr="009E036A">
        <w:tc>
          <w:tcPr>
            <w:tcW w:w="1080" w:type="dxa"/>
          </w:tcPr>
          <w:p w14:paraId="274F924F" w14:textId="3BCE0C52" w:rsidR="004F17AB" w:rsidRPr="00792B9B" w:rsidRDefault="00C5672A" w:rsidP="00BA5EFB">
            <w:pPr>
              <w:spacing w:after="0" w:line="240" w:lineRule="auto"/>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16</w:t>
            </w:r>
          </w:p>
        </w:tc>
        <w:tc>
          <w:tcPr>
            <w:tcW w:w="3400" w:type="dxa"/>
          </w:tcPr>
          <w:p w14:paraId="32ACA3E9" w14:textId="2C6B8009" w:rsidR="004F17AB" w:rsidRPr="00792B9B" w:rsidRDefault="00792B9B"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Khoản 7 Điều 18 Nghị định số 267/2025/NĐ-CP quy định việc đánh giá tác động của kết quả thực hiện nhiệm vụ phát triển công nghệ, đổi mới sáng tạo; Thông tư số 36/2025/TT-BKHCN quy định hồ sơ, biểu mẫu và trình tự tổ chức đánh giá. Chưa có quy định cụ thể của UBND tỉnh về tổ chức thực hiện tại địa phương.</w:t>
            </w:r>
          </w:p>
        </w:tc>
        <w:tc>
          <w:tcPr>
            <w:tcW w:w="2819" w:type="dxa"/>
          </w:tcPr>
          <w:p w14:paraId="2418F8DD" w14:textId="7D67FE3C" w:rsidR="004F17AB" w:rsidRPr="00792B9B" w:rsidRDefault="004F17AB"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16: Đánh giá tác động của kết quả thực hiện nhiệm vụ phát triển công nghệ, đổi mới sáng tạo</w:t>
            </w:r>
          </w:p>
        </w:tc>
        <w:tc>
          <w:tcPr>
            <w:tcW w:w="7191" w:type="dxa"/>
          </w:tcPr>
          <w:p w14:paraId="26335150" w14:textId="77777777" w:rsidR="00792B9B" w:rsidRPr="00792B9B" w:rsidRDefault="00792B9B" w:rsidP="00792B9B">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này được xây dựng trên cơ sở khoản 7 Điều 18 Nghị định số 267/2025/NĐ-CP và Thông tư số 36/2025/TT-BKHCN nhằm cụ thể hóa việc tổ chức đánh giá tác động của kết quả thực hiện nhiệm vụ phát triển công nghệ, đổi mới sáng tạo sử dụng ngân sách nhà nước trên địa bàn tỉnh.</w:t>
            </w:r>
          </w:p>
          <w:p w14:paraId="721C7194" w14:textId="77777777" w:rsidR="00792B9B" w:rsidRPr="00792B9B" w:rsidRDefault="00792B9B" w:rsidP="00792B9B">
            <w:pPr>
              <w:rPr>
                <w:rFonts w:ascii="Times New Roman" w:hAnsi="Times New Roman"/>
                <w:color w:val="000000" w:themeColor="text1"/>
                <w:sz w:val="26"/>
                <w:szCs w:val="26"/>
              </w:rPr>
            </w:pPr>
            <w:r w:rsidRPr="00792B9B">
              <w:rPr>
                <w:rFonts w:ascii="Times New Roman" w:hAnsi="Times New Roman"/>
                <w:color w:val="000000" w:themeColor="text1"/>
                <w:sz w:val="26"/>
                <w:szCs w:val="26"/>
              </w:rPr>
              <w:t>Dự thảo quy định cụ thể tiêu chí đánh giá tác động; thành phần hồ sơ; trình tự tổ chức đánh giá; trách nhiệm của Sở Khoa học và Công nghệ, tổ chức chủ trì và Hội đồng tư vấn; việc sử dụng các biểu mẫu thống nhất theo Thông tư số 36/2025/TT-BKHCN; đồng thời quy định việc thông báo kết quả và cập nhật thông tin vào cơ sở dữ liệu khoa học, công nghệ và đổi mới sáng tạo của tỉnh.</w:t>
            </w:r>
          </w:p>
          <w:p w14:paraId="6D0FFA3E" w14:textId="16A32B63" w:rsidR="004F17AB" w:rsidRPr="00792B9B" w:rsidRDefault="00792B9B" w:rsidP="00DA2EF6">
            <w:pPr>
              <w:rPr>
                <w:rFonts w:ascii="Times New Roman" w:hAnsi="Times New Roman"/>
                <w:color w:val="000000" w:themeColor="text1"/>
                <w:sz w:val="26"/>
                <w:szCs w:val="26"/>
              </w:rPr>
            </w:pPr>
            <w:r w:rsidRPr="00792B9B">
              <w:rPr>
                <w:rFonts w:ascii="Times New Roman" w:hAnsi="Times New Roman"/>
                <w:color w:val="000000" w:themeColor="text1"/>
                <w:sz w:val="26"/>
                <w:szCs w:val="26"/>
              </w:rPr>
              <w:t xml:space="preserve">Việc quy định cụ thể trình tự, trách nhiệm và phương thức tổ chức đánh giá tác động nhằm bảo đảm việc đánh giá khách quan, thống nhất, phản ánh đúng hiệu quả ứng dụng, hiệu quả kinh tế - xã hội, khả năng thương mại hóa, chuyển giao công nghệ và hiệu quả sử dụng ngân sách nhà nước của nhiệm vụ sau khi hoàn thành; đồng thời tạo cơ sở phục vụ công tác quản lý, theo dõi và hoạch định </w:t>
            </w:r>
            <w:r w:rsidRPr="00792B9B">
              <w:rPr>
                <w:rFonts w:ascii="Times New Roman" w:hAnsi="Times New Roman"/>
                <w:color w:val="000000" w:themeColor="text1"/>
                <w:sz w:val="26"/>
                <w:szCs w:val="26"/>
              </w:rPr>
              <w:lastRenderedPageBreak/>
              <w:t>chính sách về khoa học, công nghệ và đổi mới sáng tạo của tỉnh</w:t>
            </w:r>
          </w:p>
        </w:tc>
      </w:tr>
      <w:tr w:rsidR="005A3F3D" w:rsidRPr="00792B9B" w14:paraId="053F6305" w14:textId="77777777" w:rsidTr="009E036A">
        <w:tc>
          <w:tcPr>
            <w:tcW w:w="1080" w:type="dxa"/>
          </w:tcPr>
          <w:p w14:paraId="0BA362C2" w14:textId="357DFC46" w:rsidR="005A3F3D" w:rsidRPr="00792B9B" w:rsidRDefault="005A3F3D" w:rsidP="00BA5EFB">
            <w:pPr>
              <w:spacing w:after="0" w:line="240" w:lineRule="auto"/>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1</w:t>
            </w:r>
            <w:r w:rsidR="00C5672A" w:rsidRPr="00792B9B">
              <w:rPr>
                <w:rFonts w:ascii="Times New Roman" w:hAnsi="Times New Roman"/>
                <w:color w:val="000000" w:themeColor="text1"/>
                <w:sz w:val="26"/>
                <w:szCs w:val="26"/>
              </w:rPr>
              <w:t>7</w:t>
            </w:r>
          </w:p>
        </w:tc>
        <w:tc>
          <w:tcPr>
            <w:tcW w:w="3400" w:type="dxa"/>
          </w:tcPr>
          <w:p w14:paraId="1610510B" w14:textId="613A160D" w:rsidR="005A3F3D" w:rsidRPr="00792B9B" w:rsidRDefault="009E036A"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 xml:space="preserve">Điều 17 Nghị định số 267/2025/NĐ-CP quy định </w:t>
            </w:r>
            <w:r w:rsidR="00792B9B" w:rsidRPr="00792B9B">
              <w:rPr>
                <w:rFonts w:ascii="Times New Roman" w:hAnsi="Times New Roman"/>
                <w:color w:val="000000" w:themeColor="text1"/>
                <w:sz w:val="26"/>
                <w:szCs w:val="26"/>
              </w:rPr>
              <w:t>về đánh</w:t>
            </w:r>
            <w:r w:rsidR="004F17AB" w:rsidRPr="00792B9B">
              <w:rPr>
                <w:rFonts w:ascii="Times New Roman" w:hAnsi="Times New Roman"/>
                <w:color w:val="000000" w:themeColor="text1"/>
                <w:sz w:val="26"/>
                <w:szCs w:val="26"/>
              </w:rPr>
              <w:t xml:space="preserve"> giá cuối kỳ, đánh giá hiệu quả đầu ra của nhiệm vụ khoa học, công nghệ và đổi mới sáng tạo</w:t>
            </w:r>
            <w:r w:rsidRPr="00792B9B">
              <w:rPr>
                <w:rFonts w:ascii="Times New Roman" w:hAnsi="Times New Roman"/>
                <w:color w:val="000000" w:themeColor="text1"/>
                <w:sz w:val="26"/>
                <w:szCs w:val="26"/>
              </w:rPr>
              <w:t>; Thông tư số 36/2025/TT-BKHCN quy định hồ sơ, biểu mẫu liên quan.</w:t>
            </w:r>
          </w:p>
        </w:tc>
        <w:tc>
          <w:tcPr>
            <w:tcW w:w="2819" w:type="dxa"/>
          </w:tcPr>
          <w:p w14:paraId="0B01DF0D" w14:textId="5468E47B" w:rsidR="005A3F3D" w:rsidRPr="00792B9B" w:rsidRDefault="009E036A"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1</w:t>
            </w:r>
            <w:r w:rsidR="00C5672A" w:rsidRPr="00792B9B">
              <w:rPr>
                <w:rFonts w:ascii="Times New Roman" w:hAnsi="Times New Roman"/>
                <w:color w:val="000000" w:themeColor="text1"/>
                <w:sz w:val="26"/>
                <w:szCs w:val="26"/>
              </w:rPr>
              <w:t>7</w:t>
            </w:r>
            <w:r w:rsidRPr="00792B9B">
              <w:rPr>
                <w:rFonts w:ascii="Times New Roman" w:hAnsi="Times New Roman"/>
                <w:color w:val="000000" w:themeColor="text1"/>
                <w:sz w:val="26"/>
                <w:szCs w:val="26"/>
              </w:rPr>
              <w:t xml:space="preserve">. </w:t>
            </w:r>
            <w:r w:rsidR="00DA2EF6" w:rsidRPr="00792B9B">
              <w:rPr>
                <w:rFonts w:ascii="Times New Roman" w:hAnsi="Times New Roman"/>
                <w:color w:val="000000" w:themeColor="text1"/>
                <w:sz w:val="26"/>
                <w:szCs w:val="26"/>
              </w:rPr>
              <w:t>Chấm dứt và thanh lý hợp đồng thực hiện nhiệm vụ khoa học, công nghệ và đổi mới sáng tạo</w:t>
            </w:r>
          </w:p>
        </w:tc>
        <w:tc>
          <w:tcPr>
            <w:tcW w:w="7191" w:type="dxa"/>
          </w:tcPr>
          <w:p w14:paraId="3B4FE4AA" w14:textId="77777777" w:rsidR="00001DBF" w:rsidRPr="00792B9B" w:rsidRDefault="00001DBF" w:rsidP="00001DBF">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này được xây dựng trên cơ sở Điều 17 Nghị định số 267/2025/NĐ-CP và Thông tư số 36/2025/TT-BKHCN nhằm cụ thể hóa trình tự chấm dứt thực hiện và thanh lý hợp đồng đối với nhiệm vụ khoa học, công nghệ và đổi mới sáng tạo sử dụng ngân sách nhà nước thuộc phạm vi quản lý của tỉnh.</w:t>
            </w:r>
          </w:p>
          <w:p w14:paraId="03041B2A" w14:textId="77777777" w:rsidR="00001DBF" w:rsidRPr="00792B9B" w:rsidRDefault="00001DBF" w:rsidP="00001DBF">
            <w:pPr>
              <w:rPr>
                <w:rFonts w:ascii="Times New Roman" w:hAnsi="Times New Roman"/>
                <w:color w:val="000000" w:themeColor="text1"/>
                <w:sz w:val="26"/>
                <w:szCs w:val="26"/>
              </w:rPr>
            </w:pPr>
            <w:r w:rsidRPr="00792B9B">
              <w:rPr>
                <w:rFonts w:ascii="Times New Roman" w:hAnsi="Times New Roman"/>
                <w:color w:val="000000" w:themeColor="text1"/>
                <w:sz w:val="26"/>
                <w:szCs w:val="26"/>
              </w:rPr>
              <w:t>Dự thảo quy định cụ thể các trường hợp chấm dứt thực hiện nhiệm vụ; trình tự, thành phần hồ sơ thanh lý hợp đồng; trách nhiệm của Sở Khoa học và Công nghệ, tổ chức chủ trì, chủ nhiệm nhiệm vụ và các cơ quan, tổ chức có liên quan trong việc tổ chức thực hiện việc chấm dứt và thanh lý hợp đồng theo quy định của pháp luật.</w:t>
            </w:r>
          </w:p>
          <w:p w14:paraId="61D6B735" w14:textId="1398D3D7" w:rsidR="005A3F3D" w:rsidRPr="00792B9B" w:rsidRDefault="00001DBF"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Việc quy định cụ thể các nội dung này nhằm bảo đảm việc xử lý các nhiệm vụ khoa học, công nghệ và đổi mới sáng tạo khi chấm dứt thực hiện hoặc kết thúc hợp đồng được thực hiện thống nhất, đúng trình tự, đúng thẩm quyền; đồng thời xác định rõ trách nhiệm của các cơ quan, tổ chức và cá nhân có liên quan trong quá trình thanh lý hợp đồng, bảo đảm quản lý chặt chẽ việc sử dụng ngân sách nhà nước và kết quả thực hiện nhiệm vụ. Nội dung Điều 16 chỉ cụ thể hóa cơ chế tổ chức thực hiện theo quy định của Nghị định số 267/2025/NĐ-CP và Thông tư số 36/2025/TT-BKHCN, không quy định thêm trường hợp chấm dứt, hồ sơ hoặc thẩm quyền ngoài phạm vi được pháp luật giao.</w:t>
            </w:r>
          </w:p>
        </w:tc>
      </w:tr>
      <w:tr w:rsidR="008F42E6" w:rsidRPr="00792B9B" w14:paraId="05674777" w14:textId="77777777" w:rsidTr="009E036A">
        <w:tc>
          <w:tcPr>
            <w:tcW w:w="1080" w:type="dxa"/>
          </w:tcPr>
          <w:p w14:paraId="4B059C0A" w14:textId="6FDA4697" w:rsidR="008F42E6" w:rsidRPr="00792B9B" w:rsidRDefault="008F42E6" w:rsidP="00BA5EFB">
            <w:pPr>
              <w:spacing w:after="0" w:line="240" w:lineRule="auto"/>
              <w:rPr>
                <w:rFonts w:ascii="Times New Roman" w:hAnsi="Times New Roman"/>
                <w:color w:val="000000" w:themeColor="text1"/>
                <w:sz w:val="26"/>
                <w:szCs w:val="26"/>
              </w:rPr>
            </w:pPr>
            <w:r w:rsidRPr="00792B9B">
              <w:rPr>
                <w:rFonts w:ascii="Times New Roman" w:hAnsi="Times New Roman"/>
                <w:color w:val="000000" w:themeColor="text1"/>
                <w:sz w:val="26"/>
                <w:szCs w:val="26"/>
              </w:rPr>
              <w:t>1</w:t>
            </w:r>
            <w:r w:rsidR="00C5672A" w:rsidRPr="00792B9B">
              <w:rPr>
                <w:rFonts w:ascii="Times New Roman" w:hAnsi="Times New Roman"/>
                <w:color w:val="000000" w:themeColor="text1"/>
                <w:sz w:val="26"/>
                <w:szCs w:val="26"/>
              </w:rPr>
              <w:t>8</w:t>
            </w:r>
          </w:p>
        </w:tc>
        <w:tc>
          <w:tcPr>
            <w:tcW w:w="3400" w:type="dxa"/>
          </w:tcPr>
          <w:p w14:paraId="314002B3" w14:textId="4CA7AB12" w:rsidR="008F42E6" w:rsidRPr="00792B9B" w:rsidRDefault="008F42E6"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 xml:space="preserve">Khoản 6 Điều 15, khoản 8 Điều 16 và Điều 18 Nghị định số 267/2025/NĐ-CP quy định việc thành lập, thành phần, nguyên tắc làm việc của Hội </w:t>
            </w:r>
            <w:r w:rsidRPr="00792B9B">
              <w:rPr>
                <w:rFonts w:ascii="Times New Roman" w:hAnsi="Times New Roman"/>
                <w:color w:val="000000" w:themeColor="text1"/>
                <w:sz w:val="26"/>
                <w:szCs w:val="26"/>
              </w:rPr>
              <w:lastRenderedPageBreak/>
              <w:t>đồng tư vấn trong quá trình tuyển chọn, giao trực tiếp, đánh giá, nghiệm thu nhiệm vụ khoa học, công nghệ và đổi mới sáng tạo; Thông tư số 36/2025/TT-BKHCN quy định các biểu mẫu, hồ sơ phục vụ hoạt động của Hội đồng. Chưa có quy định cụ thể của UBND tỉnh về tổ chức thực hiện tại địa phương.</w:t>
            </w:r>
          </w:p>
        </w:tc>
        <w:tc>
          <w:tcPr>
            <w:tcW w:w="2819" w:type="dxa"/>
          </w:tcPr>
          <w:p w14:paraId="7FB46969" w14:textId="6BA98030" w:rsidR="008F42E6" w:rsidRPr="00792B9B" w:rsidRDefault="008F42E6"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Điều 1</w:t>
            </w:r>
            <w:r w:rsidR="00C5672A" w:rsidRPr="00792B9B">
              <w:rPr>
                <w:rFonts w:ascii="Times New Roman" w:hAnsi="Times New Roman"/>
                <w:color w:val="000000" w:themeColor="text1"/>
                <w:sz w:val="26"/>
                <w:szCs w:val="26"/>
              </w:rPr>
              <w:t>8</w:t>
            </w:r>
            <w:r w:rsidRPr="00792B9B">
              <w:rPr>
                <w:rFonts w:ascii="Times New Roman" w:hAnsi="Times New Roman"/>
                <w:color w:val="000000" w:themeColor="text1"/>
                <w:sz w:val="26"/>
                <w:szCs w:val="26"/>
              </w:rPr>
              <w:t xml:space="preserve">. </w:t>
            </w:r>
            <w:r w:rsidR="00001DBF" w:rsidRPr="00792B9B">
              <w:rPr>
                <w:rFonts w:ascii="Times New Roman" w:hAnsi="Times New Roman"/>
                <w:color w:val="000000" w:themeColor="text1"/>
                <w:sz w:val="26"/>
                <w:szCs w:val="26"/>
              </w:rPr>
              <w:t>Hội đồng tư vấn</w:t>
            </w:r>
          </w:p>
        </w:tc>
        <w:tc>
          <w:tcPr>
            <w:tcW w:w="7191" w:type="dxa"/>
          </w:tcPr>
          <w:p w14:paraId="24192491" w14:textId="77777777" w:rsidR="00001DBF" w:rsidRPr="00792B9B" w:rsidRDefault="00001DBF" w:rsidP="00001DBF">
            <w:pPr>
              <w:rPr>
                <w:rFonts w:ascii="Times New Roman" w:hAnsi="Times New Roman"/>
                <w:color w:val="000000" w:themeColor="text1"/>
                <w:sz w:val="26"/>
                <w:szCs w:val="26"/>
              </w:rPr>
            </w:pPr>
            <w:r w:rsidRPr="00792B9B">
              <w:rPr>
                <w:rFonts w:ascii="Times New Roman" w:hAnsi="Times New Roman"/>
                <w:color w:val="000000" w:themeColor="text1"/>
                <w:sz w:val="26"/>
                <w:szCs w:val="26"/>
              </w:rPr>
              <w:t xml:space="preserve">Điều này được xây dựng trên cơ sở khoản 6 Điều 15, khoản 8 Điều 16 và Điều 18 Nghị định số 267/2025/NĐ-CP, đồng thời thực hiện theo các quy định của Thông tư số 36/2025/TT-BKHCN nhằm cụ thể hóa việc thành lập, tổ chức và hoạt động của Hội đồng tư vấn trong quá trình tuyển chọn, giao trực tiếp, xét tài trợ, </w:t>
            </w:r>
            <w:r w:rsidRPr="00792B9B">
              <w:rPr>
                <w:rFonts w:ascii="Times New Roman" w:hAnsi="Times New Roman"/>
                <w:color w:val="000000" w:themeColor="text1"/>
                <w:sz w:val="26"/>
                <w:szCs w:val="26"/>
              </w:rPr>
              <w:lastRenderedPageBreak/>
              <w:t>đánh giá, nghiệm thu và thực hiện các hoạt động tư vấn đối với chương trình, nhiệm vụ khoa học, công nghệ và đổi mới sáng tạo thuộc thẩm quyền quản lý của Ủy ban nhân dân tỉnh.</w:t>
            </w:r>
          </w:p>
          <w:p w14:paraId="739CA24B" w14:textId="77777777" w:rsidR="00001DBF" w:rsidRPr="00792B9B" w:rsidRDefault="00001DBF" w:rsidP="00001DBF">
            <w:pPr>
              <w:rPr>
                <w:rFonts w:ascii="Times New Roman" w:hAnsi="Times New Roman"/>
                <w:color w:val="000000" w:themeColor="text1"/>
                <w:sz w:val="26"/>
                <w:szCs w:val="26"/>
              </w:rPr>
            </w:pPr>
            <w:r w:rsidRPr="00792B9B">
              <w:rPr>
                <w:rFonts w:ascii="Times New Roman" w:hAnsi="Times New Roman"/>
                <w:color w:val="000000" w:themeColor="text1"/>
                <w:sz w:val="26"/>
                <w:szCs w:val="26"/>
              </w:rPr>
              <w:t>Dự thảo quy định cụ thể các trường hợp thành lập Hội đồng tư vấn; thành phần, số lượng thành viên; tiêu chuẩn thành viên; nguyên tắc và phương thức làm việc; trách nhiệm của Chủ tịch, Thư ký và các thành viên Hội đồng; trình tự tổ chức phiên họp; việc nhận xét, đánh giá, bỏ phiếu, lập biên bản và sử dụng các biểu mẫu trong quá trình tuyển chọn, giao trực tiếp, xét tài trợ, đánh giá, nghiệm thu nhiệm vụ khoa học, công nghệ và đổi mới sáng tạo.</w:t>
            </w:r>
          </w:p>
          <w:p w14:paraId="473CDFEC" w14:textId="348910BD" w:rsidR="008F42E6" w:rsidRPr="00792B9B" w:rsidRDefault="00001DBF"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Việc quy định cụ thể tổ chức và hoạt động của Hội đồng tư vấn nhằm bảo đảm việc xem xét, đánh giá và tư vấn đối với các chương trình, nhiệm vụ khoa học, công nghệ và đổi mới sáng tạo được thực hiện thống nhất, khách quan, độc lập, công khai và đúng quy định của pháp luật; đồng thời phân định rõ trách nhiệm của từng thành viên Hội đồng trong quá trình thực hiện nhiệm vụ tư vấn. Nội dung Điều 17 chỉ cụ thể hóa trình tự tổ chức thực hiện theo quy định của Nghị định số 267/2025/NĐ-CP và Thông tư số 36/2025/TT-BKHCN, không quy định thêm thẩm quyền, tiêu chuẩn hoặc trình tự ngoài phạm vi được Chính phủ giao.</w:t>
            </w:r>
          </w:p>
        </w:tc>
      </w:tr>
      <w:tr w:rsidR="008F42E6" w:rsidRPr="00792B9B" w14:paraId="4CFD8F54" w14:textId="77777777" w:rsidTr="009E036A">
        <w:tc>
          <w:tcPr>
            <w:tcW w:w="1080" w:type="dxa"/>
          </w:tcPr>
          <w:p w14:paraId="5F6EE515" w14:textId="7120F933" w:rsidR="008F42E6" w:rsidRPr="00792B9B" w:rsidRDefault="008F42E6" w:rsidP="00BA5EFB">
            <w:pPr>
              <w:spacing w:after="0" w:line="240" w:lineRule="auto"/>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1</w:t>
            </w:r>
            <w:r w:rsidR="00C5672A" w:rsidRPr="00792B9B">
              <w:rPr>
                <w:rFonts w:ascii="Times New Roman" w:hAnsi="Times New Roman"/>
                <w:color w:val="000000" w:themeColor="text1"/>
                <w:sz w:val="26"/>
                <w:szCs w:val="26"/>
              </w:rPr>
              <w:t>9</w:t>
            </w:r>
          </w:p>
        </w:tc>
        <w:tc>
          <w:tcPr>
            <w:tcW w:w="3400" w:type="dxa"/>
          </w:tcPr>
          <w:p w14:paraId="3C5736D6" w14:textId="1A526C16" w:rsidR="008F42E6" w:rsidRPr="00792B9B" w:rsidRDefault="008F42E6"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 xml:space="preserve">Điều 18 Nghị định số 267/2025/NĐ-CP quy định việc thành lập và hoạt động của Tổ chuyên gia tư vấn phục vụ xác định nhiệm vụ, khảo sát năng lực tổ chức chủ trì, thẩm định và các hoạt </w:t>
            </w:r>
            <w:r w:rsidRPr="00792B9B">
              <w:rPr>
                <w:rFonts w:ascii="Times New Roman" w:hAnsi="Times New Roman"/>
                <w:color w:val="000000" w:themeColor="text1"/>
                <w:sz w:val="26"/>
                <w:szCs w:val="26"/>
              </w:rPr>
              <w:lastRenderedPageBreak/>
              <w:t>động chuyên môn khác; Thông tư số 36/2025/TT-BKHCN quy định biểu mẫu, tài liệu phục vụ hoạt động của Tổ chuyên gia</w:t>
            </w:r>
          </w:p>
        </w:tc>
        <w:tc>
          <w:tcPr>
            <w:tcW w:w="2819" w:type="dxa"/>
          </w:tcPr>
          <w:p w14:paraId="78DF9245" w14:textId="195CF4AD" w:rsidR="008F42E6" w:rsidRPr="00792B9B" w:rsidRDefault="008F42E6"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Điều 1</w:t>
            </w:r>
            <w:r w:rsidR="00C5672A" w:rsidRPr="00792B9B">
              <w:rPr>
                <w:rFonts w:ascii="Times New Roman" w:hAnsi="Times New Roman"/>
                <w:color w:val="000000" w:themeColor="text1"/>
                <w:sz w:val="26"/>
                <w:szCs w:val="26"/>
              </w:rPr>
              <w:t>9</w:t>
            </w:r>
            <w:r w:rsidRPr="00792B9B">
              <w:rPr>
                <w:rFonts w:ascii="Times New Roman" w:hAnsi="Times New Roman"/>
                <w:color w:val="000000" w:themeColor="text1"/>
                <w:sz w:val="26"/>
                <w:szCs w:val="26"/>
              </w:rPr>
              <w:t xml:space="preserve">. </w:t>
            </w:r>
            <w:r w:rsidR="00001DBF" w:rsidRPr="00792B9B">
              <w:rPr>
                <w:rFonts w:ascii="Times New Roman" w:hAnsi="Times New Roman"/>
                <w:color w:val="000000" w:themeColor="text1"/>
                <w:sz w:val="26"/>
                <w:szCs w:val="26"/>
              </w:rPr>
              <w:t>Tổ chuyên gia tư vấn</w:t>
            </w:r>
          </w:p>
        </w:tc>
        <w:tc>
          <w:tcPr>
            <w:tcW w:w="7191" w:type="dxa"/>
          </w:tcPr>
          <w:p w14:paraId="6D1B1420" w14:textId="77777777" w:rsidR="00001DBF" w:rsidRPr="00792B9B" w:rsidRDefault="00001DBF" w:rsidP="00001DBF">
            <w:pPr>
              <w:rPr>
                <w:rFonts w:ascii="Times New Roman" w:hAnsi="Times New Roman"/>
                <w:color w:val="000000" w:themeColor="text1"/>
                <w:sz w:val="26"/>
                <w:szCs w:val="26"/>
              </w:rPr>
            </w:pPr>
            <w:r w:rsidRPr="00792B9B">
              <w:rPr>
                <w:rFonts w:ascii="Times New Roman" w:hAnsi="Times New Roman"/>
                <w:color w:val="000000" w:themeColor="text1"/>
                <w:sz w:val="26"/>
                <w:szCs w:val="26"/>
              </w:rPr>
              <w:t>Điều này được xây dựng trên cơ sở Điều 18 Nghị định số 267/2025/NĐ-CP và Thông tư số 36/2025/TT-BKHCN nhằm cụ thể hóa việc thành lập, tổ chức và hoạt động của Tổ chuyên gia tư vấn phục vụ quá trình quản lý chương trình, nhiệm vụ khoa học, công nghệ và đổi mới sáng tạo thuộc thẩm quyền của Ủy ban nhân dân tỉnh.</w:t>
            </w:r>
          </w:p>
          <w:p w14:paraId="42E0088F" w14:textId="77777777" w:rsidR="00001DBF" w:rsidRPr="00792B9B" w:rsidRDefault="00001DBF" w:rsidP="00001DBF">
            <w:pPr>
              <w:rPr>
                <w:rFonts w:ascii="Times New Roman" w:hAnsi="Times New Roman"/>
                <w:color w:val="000000" w:themeColor="text1"/>
                <w:sz w:val="26"/>
                <w:szCs w:val="26"/>
              </w:rPr>
            </w:pPr>
            <w:r w:rsidRPr="00792B9B">
              <w:rPr>
                <w:rFonts w:ascii="Times New Roman" w:hAnsi="Times New Roman"/>
                <w:color w:val="000000" w:themeColor="text1"/>
                <w:sz w:val="26"/>
                <w:szCs w:val="26"/>
              </w:rPr>
              <w:lastRenderedPageBreak/>
              <w:t>Dự thảo quy định cụ thể các trường hợp thành lập Tổ chuyên gia tư vấn; thành phần, tiêu chuẩn của chuyên gia; nhiệm vụ, quyền hạn; nguyên tắc và phương thức làm việc; trách nhiệm của Tổ trưởng, các thành viên và Thư ký; việc tổ chức họp, lập biên bản, báo cáo kết quả tư vấn và sử dụng các biểu mẫu trong quá trình thực hiện nhiệm vụ tư vấn đối với hoạt động xác định nhiệm vụ, khảo sát năng lực tổ chức đăng ký chủ trì, thẩm định và các hoạt động chuyên môn khác theo quy định.</w:t>
            </w:r>
          </w:p>
          <w:p w14:paraId="33FB5BCD" w14:textId="65B66E3B" w:rsidR="008F42E6" w:rsidRPr="00792B9B" w:rsidRDefault="00001DBF" w:rsidP="00BA5EFB">
            <w:pPr>
              <w:rPr>
                <w:rFonts w:ascii="Times New Roman" w:hAnsi="Times New Roman"/>
                <w:color w:val="000000" w:themeColor="text1"/>
                <w:sz w:val="26"/>
                <w:szCs w:val="26"/>
              </w:rPr>
            </w:pPr>
            <w:r w:rsidRPr="00792B9B">
              <w:rPr>
                <w:rFonts w:ascii="Times New Roman" w:hAnsi="Times New Roman"/>
                <w:color w:val="000000" w:themeColor="text1"/>
                <w:sz w:val="26"/>
                <w:szCs w:val="26"/>
              </w:rPr>
              <w:t>Việc quy định cụ thể tổ chức và hoạt động của Tổ chuyên gia tư vấn nhằm bảo đảm quá trình tư vấn được thực hiện khách quan, độc lập, đúng chuyên môn; làm rõ trách nhiệm của các thành viên trong quá trình thực hiện nhiệm vụ, góp phần nâng cao chất lượng tham mưu và bảo đảm tính thống nhất trong tổ chức thực hiện các hoạt động quản lý nhiệm vụ khoa học, công nghệ và đổi mới sáng tạo trên địa bàn tỉnh. Nội dung Điều 18 chỉ cụ thể hóa trình tự tổ chức thực hiện theo quy định của Nghị định số 267/2025/NĐ-CP và Thông tư số 36/2025/TT-BKHCN, không quy định thêm tiêu chuẩn, thẩm quyền hoặc nhiệm vụ ngoài phạm vi được pháp luật giao.</w:t>
            </w:r>
          </w:p>
        </w:tc>
      </w:tr>
      <w:tr w:rsidR="008F42E6" w:rsidRPr="00B365FA" w14:paraId="44B94360" w14:textId="77777777" w:rsidTr="009E036A">
        <w:tc>
          <w:tcPr>
            <w:tcW w:w="1080" w:type="dxa"/>
          </w:tcPr>
          <w:p w14:paraId="74901713" w14:textId="70D62DFD" w:rsidR="008F42E6" w:rsidRPr="00B365FA" w:rsidRDefault="00C5672A" w:rsidP="00BA5EFB">
            <w:pPr>
              <w:spacing w:after="0" w:line="240" w:lineRule="auto"/>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20</w:t>
            </w:r>
          </w:p>
        </w:tc>
        <w:tc>
          <w:tcPr>
            <w:tcW w:w="3400" w:type="dxa"/>
          </w:tcPr>
          <w:p w14:paraId="56D22B0A" w14:textId="0A270B43" w:rsidR="008F42E6" w:rsidRPr="00B365FA" w:rsidRDefault="00792B9B"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13 và Điều 14 Nghị định số 267/2025/NĐ-CP quy định việc thẩm định kinh phí nhiệm vụ khoa học, công nghệ và đổi mới sáng tạo và giao cơ quan quản lý nhiệm vụ tổ chức thẩm định; Thông tư số 36/2025/TT-BKHCN quy định trình tự, biểu mẫu; </w:t>
            </w:r>
            <w:r w:rsidRPr="00B365FA">
              <w:rPr>
                <w:rFonts w:ascii="Times New Roman" w:hAnsi="Times New Roman"/>
                <w:color w:val="000000" w:themeColor="text1"/>
                <w:sz w:val="26"/>
                <w:szCs w:val="26"/>
              </w:rPr>
              <w:lastRenderedPageBreak/>
              <w:t>Thông tư số 38/2025/TT-BKHCN và Thông tư số 39/2025/TT-BKHCN quy định việc lập dự toán, quản lý, sử dụng và quyết toán kinh phí. Chưa có quy định cụ thể của UBND tỉnh về tổ chức thực hiện tại địa phương.</w:t>
            </w:r>
          </w:p>
        </w:tc>
        <w:tc>
          <w:tcPr>
            <w:tcW w:w="2819" w:type="dxa"/>
          </w:tcPr>
          <w:p w14:paraId="57C9F147" w14:textId="7BEE465C" w:rsidR="008F42E6" w:rsidRPr="00B365FA" w:rsidRDefault="009E036A"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 xml:space="preserve">Điều </w:t>
            </w:r>
            <w:r w:rsidR="00C5672A" w:rsidRPr="00B365FA">
              <w:rPr>
                <w:rFonts w:ascii="Times New Roman" w:hAnsi="Times New Roman"/>
                <w:color w:val="000000" w:themeColor="text1"/>
                <w:sz w:val="26"/>
                <w:szCs w:val="26"/>
              </w:rPr>
              <w:t>20</w:t>
            </w:r>
            <w:r w:rsidRPr="00B365FA">
              <w:rPr>
                <w:rFonts w:ascii="Times New Roman" w:hAnsi="Times New Roman"/>
                <w:color w:val="000000" w:themeColor="text1"/>
                <w:sz w:val="26"/>
                <w:szCs w:val="26"/>
              </w:rPr>
              <w:t xml:space="preserve">. </w:t>
            </w:r>
            <w:r w:rsidR="00001DBF" w:rsidRPr="00B365FA">
              <w:rPr>
                <w:rFonts w:ascii="Times New Roman" w:hAnsi="Times New Roman"/>
                <w:color w:val="000000" w:themeColor="text1"/>
                <w:sz w:val="26"/>
                <w:szCs w:val="26"/>
              </w:rPr>
              <w:t>Tổ thẩm định kinh phí nhiệm vụ khoa học, công nghệ và đổi mới sáng tạo</w:t>
            </w:r>
          </w:p>
        </w:tc>
        <w:tc>
          <w:tcPr>
            <w:tcW w:w="7191" w:type="dxa"/>
          </w:tcPr>
          <w:p w14:paraId="73EF1DF1" w14:textId="3B5861BE" w:rsidR="00B365FA" w:rsidRPr="00B365FA" w:rsidRDefault="00B365FA" w:rsidP="00B365FA">
            <w:pPr>
              <w:rPr>
                <w:rFonts w:ascii="Times New Roman" w:hAnsi="Times New Roman"/>
                <w:color w:val="000000" w:themeColor="text1"/>
                <w:sz w:val="26"/>
                <w:szCs w:val="26"/>
              </w:rPr>
            </w:pPr>
            <w:r w:rsidRPr="00B365FA">
              <w:rPr>
                <w:rFonts w:ascii="Times New Roman" w:hAnsi="Times New Roman"/>
                <w:color w:val="000000" w:themeColor="text1"/>
                <w:sz w:val="26"/>
                <w:szCs w:val="26"/>
              </w:rPr>
              <w:t>Điều này được xây dựng nhằm cụ thể hóa việc thành lập và tổ chức hoạt động của Tổ thẩm định kinh phí đối với nhiệm vụ khoa học, công nghệ và đổi mới sáng tạo sử dụng ngân sách nhà nước trên địa bàn tỉnh.</w:t>
            </w:r>
          </w:p>
          <w:p w14:paraId="375CA063" w14:textId="77777777" w:rsidR="00B365FA" w:rsidRPr="00B365FA" w:rsidRDefault="00B365FA" w:rsidP="00B365FA">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Dự thảo quy định cụ thể trường hợp thành lập Tổ thẩm định kinh phí; thành phần tham gia; nhiệm vụ, quyền hạn; nguyên tắc làm việc; trách nhiệm của Tổ trưởng và các thành viên; nội dung thẩm định dự toán kinh phí; việc lập biên bản, báo cáo kết quả thẩm định và sử dụng các biểu mẫu theo quy định làm căn cứ để cơ </w:t>
            </w:r>
            <w:r w:rsidRPr="00B365FA">
              <w:rPr>
                <w:rFonts w:ascii="Times New Roman" w:hAnsi="Times New Roman"/>
                <w:color w:val="000000" w:themeColor="text1"/>
                <w:sz w:val="26"/>
                <w:szCs w:val="26"/>
              </w:rPr>
              <w:lastRenderedPageBreak/>
              <w:t>quan quản lý nhiệm vụ trình cấp có thẩm quyền xem xét, quyết định phê duyệt kinh phí thực hiện nhiệm vụ.</w:t>
            </w:r>
          </w:p>
          <w:p w14:paraId="7781B6ED" w14:textId="77777777" w:rsidR="00B365FA" w:rsidRPr="00B365FA" w:rsidRDefault="00B365FA" w:rsidP="00B365FA">
            <w:pPr>
              <w:rPr>
                <w:rFonts w:ascii="Times New Roman" w:hAnsi="Times New Roman"/>
                <w:color w:val="000000" w:themeColor="text1"/>
                <w:sz w:val="26"/>
                <w:szCs w:val="26"/>
              </w:rPr>
            </w:pPr>
            <w:r w:rsidRPr="00B365FA">
              <w:rPr>
                <w:rFonts w:ascii="Times New Roman" w:hAnsi="Times New Roman"/>
                <w:color w:val="000000" w:themeColor="text1"/>
                <w:sz w:val="26"/>
                <w:szCs w:val="26"/>
              </w:rPr>
              <w:t>Việc quy định cụ thể tổ chức và hoạt động của Tổ thẩm định kinh phí nhằm bảo đảm việc thẩm định dự toán kinh phí thực hiện nhiệm vụ khoa học, công nghệ và đổi mới sáng tạo được thực hiện thống nhất, khách quan, đúng quy định của pháp luật về khoa học, công nghệ và đổi mới sáng tạo, đồng thời phù hợp với các quy định về quản lý, sử dụng ngân sách nhà nước; xác định rõ trách nhiệm của các cơ quan, tổ chức và cá nhân tham gia thẩm định trước khi trình cấp có thẩm quyền quyết định.</w:t>
            </w:r>
          </w:p>
          <w:p w14:paraId="793A180A" w14:textId="50D414AD" w:rsidR="008F42E6" w:rsidRPr="00B365FA" w:rsidRDefault="00B365FA"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Nội dung Điều 20 chỉ cụ thể hóa cơ chế tổ chức thực hiện theo quy định của Nghị định số 267/2025/NĐ-CP và các Thông tư của Bộ Khoa học và Công nghệ; không quy định thêm thủ tục hành chính, thẩm quyền, thành phần Tổ thẩm định hoặc nội dung thẩm định ngoài phạm vi được pháp luật giao</w:t>
            </w:r>
          </w:p>
        </w:tc>
      </w:tr>
      <w:tr w:rsidR="008F42E6" w:rsidRPr="00001DBF" w14:paraId="566F339D" w14:textId="77777777" w:rsidTr="009E036A">
        <w:tc>
          <w:tcPr>
            <w:tcW w:w="1080" w:type="dxa"/>
          </w:tcPr>
          <w:p w14:paraId="6744F6E7" w14:textId="4AE19711" w:rsidR="008F42E6" w:rsidRPr="00001DBF" w:rsidRDefault="00B552CC" w:rsidP="00BA5EFB">
            <w:pPr>
              <w:spacing w:after="0" w:line="240" w:lineRule="auto"/>
              <w:rPr>
                <w:rFonts w:ascii="Times New Roman" w:hAnsi="Times New Roman"/>
                <w:color w:val="00B050"/>
                <w:sz w:val="26"/>
                <w:szCs w:val="26"/>
              </w:rPr>
            </w:pPr>
            <w:r w:rsidRPr="00001DBF">
              <w:rPr>
                <w:rFonts w:ascii="Times New Roman" w:hAnsi="Times New Roman"/>
                <w:color w:val="00B050"/>
                <w:sz w:val="26"/>
                <w:szCs w:val="26"/>
              </w:rPr>
              <w:lastRenderedPageBreak/>
              <w:t>2</w:t>
            </w:r>
            <w:r w:rsidR="00C5672A">
              <w:rPr>
                <w:rFonts w:ascii="Times New Roman" w:hAnsi="Times New Roman"/>
                <w:color w:val="00B050"/>
                <w:sz w:val="26"/>
                <w:szCs w:val="26"/>
              </w:rPr>
              <w:t>1</w:t>
            </w:r>
          </w:p>
        </w:tc>
        <w:tc>
          <w:tcPr>
            <w:tcW w:w="3400" w:type="dxa"/>
          </w:tcPr>
          <w:p w14:paraId="5BC0F18E" w14:textId="62B06891" w:rsidR="008F42E6" w:rsidRPr="00001DBF" w:rsidRDefault="009E036A" w:rsidP="00BA5EFB">
            <w:pPr>
              <w:rPr>
                <w:rFonts w:ascii="Times New Roman" w:hAnsi="Times New Roman"/>
                <w:color w:val="00B050"/>
                <w:sz w:val="26"/>
                <w:szCs w:val="26"/>
              </w:rPr>
            </w:pPr>
            <w:r w:rsidRPr="00001DBF">
              <w:rPr>
                <w:rFonts w:ascii="Times New Roman" w:hAnsi="Times New Roman"/>
                <w:color w:val="00B050"/>
                <w:sz w:val="26"/>
                <w:szCs w:val="26"/>
              </w:rPr>
              <w:t>Điều 18 Nghị định số 267/2025/NĐ-CP quy định việc sử dụng tổ chức tư vấn độc lập và chuyên gia tư vấn độc lập trong quá trình quản lý nhiệm vụ khoa học, công nghệ và đổi mới sáng tạo. Chưa có quy định cụ thể của UBND tỉnh về việc tổ chức thực hiện</w:t>
            </w:r>
          </w:p>
        </w:tc>
        <w:tc>
          <w:tcPr>
            <w:tcW w:w="2819" w:type="dxa"/>
          </w:tcPr>
          <w:p w14:paraId="13FFB52C" w14:textId="6072DBB2" w:rsidR="008F42E6" w:rsidRPr="00001DBF" w:rsidRDefault="009E036A" w:rsidP="00BA5EFB">
            <w:pPr>
              <w:rPr>
                <w:rFonts w:ascii="Times New Roman" w:hAnsi="Times New Roman"/>
                <w:color w:val="00B050"/>
                <w:sz w:val="26"/>
                <w:szCs w:val="26"/>
              </w:rPr>
            </w:pPr>
            <w:r w:rsidRPr="00001DBF">
              <w:rPr>
                <w:rFonts w:ascii="Times New Roman" w:hAnsi="Times New Roman"/>
                <w:color w:val="00B050"/>
                <w:sz w:val="26"/>
                <w:szCs w:val="26"/>
              </w:rPr>
              <w:t>Điều 2</w:t>
            </w:r>
            <w:r w:rsidR="00C5672A">
              <w:rPr>
                <w:rFonts w:ascii="Times New Roman" w:hAnsi="Times New Roman"/>
                <w:color w:val="00B050"/>
                <w:sz w:val="26"/>
                <w:szCs w:val="26"/>
              </w:rPr>
              <w:t>1</w:t>
            </w:r>
            <w:r w:rsidRPr="00001DBF">
              <w:rPr>
                <w:rFonts w:ascii="Times New Roman" w:hAnsi="Times New Roman"/>
                <w:color w:val="00B050"/>
                <w:sz w:val="26"/>
                <w:szCs w:val="26"/>
              </w:rPr>
              <w:t xml:space="preserve">. </w:t>
            </w:r>
            <w:r w:rsidR="00001DBF" w:rsidRPr="00001DBF">
              <w:rPr>
                <w:rFonts w:ascii="Times New Roman" w:hAnsi="Times New Roman"/>
                <w:color w:val="00B050"/>
                <w:sz w:val="26"/>
                <w:szCs w:val="26"/>
              </w:rPr>
              <w:t>Tổ chức tư vấn độc lập và chuyên gia tư vấn độc lập</w:t>
            </w:r>
          </w:p>
        </w:tc>
        <w:tc>
          <w:tcPr>
            <w:tcW w:w="7191" w:type="dxa"/>
          </w:tcPr>
          <w:p w14:paraId="36961938" w14:textId="09B04951" w:rsidR="00B365FA" w:rsidRPr="00B365FA" w:rsidRDefault="00B365FA" w:rsidP="00B365FA">
            <w:pPr>
              <w:rPr>
                <w:rFonts w:ascii="Times New Roman" w:hAnsi="Times New Roman"/>
                <w:color w:val="000000" w:themeColor="text1"/>
                <w:sz w:val="26"/>
                <w:szCs w:val="26"/>
              </w:rPr>
            </w:pPr>
            <w:r w:rsidRPr="00B365FA">
              <w:rPr>
                <w:rFonts w:ascii="Times New Roman" w:hAnsi="Times New Roman"/>
                <w:color w:val="000000" w:themeColor="text1"/>
                <w:sz w:val="26"/>
                <w:szCs w:val="26"/>
              </w:rPr>
              <w:t>Đ</w:t>
            </w:r>
            <w:r w:rsidRPr="00B365FA">
              <w:rPr>
                <w:rFonts w:ascii="Times New Roman" w:hAnsi="Times New Roman"/>
                <w:color w:val="000000" w:themeColor="text1"/>
                <w:sz w:val="26"/>
                <w:szCs w:val="26"/>
              </w:rPr>
              <w:t>iều này được xây dựng nhằm cụ thể hóa việc sử dụng tổ chức tư vấn độc lập và chuyên gia tư vấn độc lập trong quá trình quản lý và tổ chức thực hiện nhiệm vụ khoa học, công nghệ và đổi mới sáng tạo thuộc phạm vi quản lý của tỉnh.</w:t>
            </w:r>
          </w:p>
          <w:p w14:paraId="375255BB" w14:textId="77777777" w:rsidR="00B365FA" w:rsidRPr="00B365FA" w:rsidRDefault="00B365FA" w:rsidP="00B365FA">
            <w:pPr>
              <w:rPr>
                <w:rFonts w:ascii="Times New Roman" w:hAnsi="Times New Roman"/>
                <w:color w:val="000000" w:themeColor="text1"/>
                <w:sz w:val="26"/>
                <w:szCs w:val="26"/>
              </w:rPr>
            </w:pPr>
            <w:r w:rsidRPr="00B365FA">
              <w:rPr>
                <w:rFonts w:ascii="Times New Roman" w:hAnsi="Times New Roman"/>
                <w:color w:val="000000" w:themeColor="text1"/>
                <w:sz w:val="26"/>
                <w:szCs w:val="26"/>
              </w:rPr>
              <w:t>Dự thảo quy định cụ thể trường hợp Sở Khoa học và Công nghệ được thuê tổ chức tư vấn độc lập hoặc chuyên gia tư vấn độc lập; tiêu chuẩn của tổ chức, chuyên gia tư vấn; nguyên tắc bảo đảm tính độc lập, khách quan; phạm vi công việc được thuê thực hiện; đồng thời quy định việc lựa chọn và thuê tư vấn phải phù hợp với yêu cầu chuyên môn của từng nhiệm vụ, bảo đảm công khai, khách quan, minh bạch và không để xảy ra xung đột lợi ích theo quy định của pháp luật.</w:t>
            </w:r>
          </w:p>
          <w:p w14:paraId="6CAFBF59" w14:textId="77777777" w:rsidR="00B365FA" w:rsidRPr="00B365FA" w:rsidRDefault="00B365FA" w:rsidP="00B365FA">
            <w:pPr>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Việc quy định cụ thể các nội dung này nhằm tạo cơ sở pháp lý thống nhất để cơ quan quản lý nhà nước lựa chọn tổ chức, chuyên gia có năng lực chuyên môn tham gia tư vấn trong những trường hợp cần thiết; bảo đảm tính độc lập, khách quan trong quá trình xem xét, đánh giá các nội dung chuyên môn; đồng thời nâng cao chất lượng tham mưu, hạn chế xung đột lợi ích và tăng cường hiệu quả quản lý nhiệm vụ khoa học, công nghệ và đổi mới sáng tạo trên địa bàn tỉnh.</w:t>
            </w:r>
          </w:p>
          <w:p w14:paraId="53D611A1" w14:textId="4AF96D0F" w:rsidR="008F42E6" w:rsidRPr="00B365FA" w:rsidRDefault="00B365FA"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Nội dung Điều 21 chỉ cụ thể hóa cơ chế tổ chức thực hiện theo Điều 18 Nghị định số 267/2025/NĐ-CP và Điều 7 Thông tư số 38/2025/TT-BKHCN; không quy định thêm tiêu chuẩn, điều kiện, thủ tục lựa chọn hoặc thẩm quyền ngoài phạm vi được pháp luật giao.</w:t>
            </w:r>
          </w:p>
        </w:tc>
      </w:tr>
      <w:tr w:rsidR="008F42E6" w:rsidRPr="00B552CC" w14:paraId="3936AE3D" w14:textId="77777777" w:rsidTr="009E036A">
        <w:tc>
          <w:tcPr>
            <w:tcW w:w="1080" w:type="dxa"/>
          </w:tcPr>
          <w:p w14:paraId="0BC5E84F" w14:textId="6E06915A" w:rsidR="008F42E6" w:rsidRPr="00B552CC" w:rsidRDefault="00B552CC" w:rsidP="00BA5EFB">
            <w:pPr>
              <w:spacing w:after="0" w:line="240" w:lineRule="auto"/>
              <w:rPr>
                <w:rFonts w:ascii="Times New Roman" w:hAnsi="Times New Roman"/>
                <w:sz w:val="26"/>
                <w:szCs w:val="26"/>
              </w:rPr>
            </w:pPr>
            <w:r w:rsidRPr="00B552CC">
              <w:rPr>
                <w:rFonts w:ascii="Times New Roman" w:hAnsi="Times New Roman"/>
                <w:sz w:val="26"/>
                <w:szCs w:val="26"/>
              </w:rPr>
              <w:lastRenderedPageBreak/>
              <w:t>2</w:t>
            </w:r>
            <w:r w:rsidR="00C5672A">
              <w:rPr>
                <w:rFonts w:ascii="Times New Roman" w:hAnsi="Times New Roman"/>
                <w:sz w:val="26"/>
                <w:szCs w:val="26"/>
              </w:rPr>
              <w:t>2</w:t>
            </w:r>
          </w:p>
        </w:tc>
        <w:tc>
          <w:tcPr>
            <w:tcW w:w="3400" w:type="dxa"/>
          </w:tcPr>
          <w:p w14:paraId="426DC643" w14:textId="21F96CA1" w:rsidR="008F42E6" w:rsidRPr="00B552CC" w:rsidRDefault="00B552CC" w:rsidP="00BA5EFB">
            <w:pPr>
              <w:rPr>
                <w:rFonts w:ascii="Times New Roman" w:hAnsi="Times New Roman"/>
                <w:sz w:val="26"/>
                <w:szCs w:val="26"/>
              </w:rPr>
            </w:pPr>
            <w:r w:rsidRPr="00B552CC">
              <w:rPr>
                <w:rFonts w:ascii="Times New Roman" w:hAnsi="Times New Roman"/>
                <w:sz w:val="26"/>
                <w:szCs w:val="26"/>
              </w:rPr>
              <w:t xml:space="preserve">Luật Ngân sách nhà nước; Thông tư số 38/2025/TT-BKHCN quy định lập dự toán, quản lý, sử dụng và quyết toán kinh phí ngân sách nhà nước thực hiện nhiệm vụ khoa học và công nghệ; Thông tư số 39/2025/TT-BKHCN quy định lập dự toán, quản lý, sử dụng và quyết toán kinh phí ngân sách nhà nước thực hiện nhiệm vụ đổi mới sáng tạo. Chưa có quy định thống nhất của UBND tỉnh về nguyên tắc tổ </w:t>
            </w:r>
            <w:r w:rsidRPr="00B552CC">
              <w:rPr>
                <w:rFonts w:ascii="Times New Roman" w:hAnsi="Times New Roman"/>
                <w:sz w:val="26"/>
                <w:szCs w:val="26"/>
              </w:rPr>
              <w:lastRenderedPageBreak/>
              <w:t>chức thực hiện đối với các chương trình, nhiệm vụ trên địa bàn</w:t>
            </w:r>
          </w:p>
        </w:tc>
        <w:tc>
          <w:tcPr>
            <w:tcW w:w="2819" w:type="dxa"/>
          </w:tcPr>
          <w:p w14:paraId="085BCE96" w14:textId="41484705" w:rsidR="008F42E6" w:rsidRPr="00B552CC" w:rsidRDefault="00B552CC" w:rsidP="00BA5EFB">
            <w:pPr>
              <w:rPr>
                <w:rFonts w:ascii="Times New Roman" w:hAnsi="Times New Roman"/>
                <w:sz w:val="26"/>
                <w:szCs w:val="26"/>
              </w:rPr>
            </w:pPr>
            <w:r w:rsidRPr="00B552CC">
              <w:rPr>
                <w:rFonts w:ascii="Times New Roman" w:hAnsi="Times New Roman"/>
                <w:sz w:val="26"/>
                <w:szCs w:val="26"/>
              </w:rPr>
              <w:lastRenderedPageBreak/>
              <w:t>Điều 2</w:t>
            </w:r>
            <w:r w:rsidR="00C5672A">
              <w:rPr>
                <w:rFonts w:ascii="Times New Roman" w:hAnsi="Times New Roman"/>
                <w:sz w:val="26"/>
                <w:szCs w:val="26"/>
              </w:rPr>
              <w:t>2</w:t>
            </w:r>
            <w:r w:rsidRPr="00B552CC">
              <w:rPr>
                <w:rFonts w:ascii="Times New Roman" w:hAnsi="Times New Roman"/>
                <w:sz w:val="26"/>
                <w:szCs w:val="26"/>
              </w:rPr>
              <w:t xml:space="preserve">. </w:t>
            </w:r>
            <w:r w:rsidR="00001DBF" w:rsidRPr="00001DBF">
              <w:rPr>
                <w:rFonts w:ascii="Times New Roman" w:hAnsi="Times New Roman"/>
                <w:sz w:val="26"/>
                <w:szCs w:val="26"/>
              </w:rPr>
              <w:t>Lập dự toán, quản lý, sử dụng và quyết toán kinh phí</w:t>
            </w:r>
          </w:p>
        </w:tc>
        <w:tc>
          <w:tcPr>
            <w:tcW w:w="7191" w:type="dxa"/>
          </w:tcPr>
          <w:p w14:paraId="4B5AB866" w14:textId="5DD9C0F9" w:rsidR="00001DBF" w:rsidRPr="00001DBF" w:rsidRDefault="00001DBF" w:rsidP="00001DBF">
            <w:pPr>
              <w:rPr>
                <w:rFonts w:ascii="Times New Roman" w:hAnsi="Times New Roman"/>
                <w:sz w:val="26"/>
                <w:szCs w:val="26"/>
              </w:rPr>
            </w:pPr>
            <w:r w:rsidRPr="00001DBF">
              <w:rPr>
                <w:rFonts w:ascii="Times New Roman" w:hAnsi="Times New Roman"/>
                <w:sz w:val="26"/>
                <w:szCs w:val="26"/>
              </w:rPr>
              <w:t>Điều này được xây dựng nhằm thống nhất việc lập dự toán, quản lý, sử dụng và quyết toán kinh phí thực hiện chương trình, nhiệm vụ khoa học, công nghệ và đổi mới sáng tạo sử dụng ngân sách nhà nước trên địa bàn tỉnh.</w:t>
            </w:r>
          </w:p>
          <w:p w14:paraId="72610CCC" w14:textId="77777777" w:rsidR="00001DBF" w:rsidRPr="00001DBF" w:rsidRDefault="00001DBF" w:rsidP="00001DBF">
            <w:pPr>
              <w:rPr>
                <w:rFonts w:ascii="Times New Roman" w:hAnsi="Times New Roman"/>
                <w:sz w:val="26"/>
                <w:szCs w:val="26"/>
              </w:rPr>
            </w:pPr>
            <w:r w:rsidRPr="00001DBF">
              <w:rPr>
                <w:rFonts w:ascii="Times New Roman" w:hAnsi="Times New Roman"/>
                <w:sz w:val="26"/>
                <w:szCs w:val="26"/>
              </w:rPr>
              <w:t>Dự thảo quy định việc lập dự toán, quản lý, sử dụng và quyết toán kinh phí thực hiện chương trình, nhiệm vụ khoa học, công nghệ và đổi mới sáng tạo theo đúng quy định của pháp luật về ngân sách nhà nước và các văn bản hướng dẫn của Bộ Khoa học và Công nghệ; đồng thời quy định nguyên tắc quản lý, sử dụng kinh phí phải bảo đảm đúng mục đích, tiết kiệm, hiệu quả, công khai, minh bạch và đúng quy định của pháp luật.</w:t>
            </w:r>
          </w:p>
          <w:p w14:paraId="45110697" w14:textId="2EDE9AE3" w:rsidR="008F42E6" w:rsidRPr="00B552CC" w:rsidRDefault="00001DBF" w:rsidP="00BA5EFB">
            <w:pPr>
              <w:rPr>
                <w:rFonts w:ascii="Times New Roman" w:hAnsi="Times New Roman"/>
                <w:sz w:val="26"/>
                <w:szCs w:val="26"/>
              </w:rPr>
            </w:pPr>
            <w:r w:rsidRPr="00001DBF">
              <w:rPr>
                <w:rFonts w:ascii="Times New Roman" w:hAnsi="Times New Roman"/>
                <w:sz w:val="26"/>
                <w:szCs w:val="26"/>
              </w:rPr>
              <w:t xml:space="preserve">Việc dẫn chiếu áp dụng các quy định của pháp luật về quản lý tài chính và ngân sách nhà nước nhằm bảo đảm tính thống nhất của hệ thống pháp luật, tránh trùng lặp nội dung đã được quy định đầy </w:t>
            </w:r>
            <w:r w:rsidRPr="00001DBF">
              <w:rPr>
                <w:rFonts w:ascii="Times New Roman" w:hAnsi="Times New Roman"/>
                <w:sz w:val="26"/>
                <w:szCs w:val="26"/>
              </w:rPr>
              <w:lastRenderedPageBreak/>
              <w:t>đủ trong các văn bản của Trung ương, đồng thời tạo cơ sở pháp lý để các cơ quan, tổ chức, cá nhân thực hiện thống nhất việc quản lý, sử dụng và quyết toán kinh phí đối với chương trình, nhiệm vụ khoa học, công nghệ và đổi mới sáng tạo trên địa bàn tỉnh. Nội dung Điều 21 không quy định thêm chế độ, định mức chi hoặc trình tự quản lý tài chính ngoài phạm vi được pháp luật hiện hành quy định.</w:t>
            </w:r>
          </w:p>
        </w:tc>
      </w:tr>
      <w:tr w:rsidR="008F42E6" w:rsidRPr="00B365FA" w14:paraId="10CBA2F0" w14:textId="77777777" w:rsidTr="009E036A">
        <w:tc>
          <w:tcPr>
            <w:tcW w:w="1080" w:type="dxa"/>
          </w:tcPr>
          <w:p w14:paraId="773262B8" w14:textId="59A74658" w:rsidR="008F42E6" w:rsidRPr="00B365FA" w:rsidRDefault="00B552CC" w:rsidP="00BA5EFB">
            <w:pPr>
              <w:spacing w:after="0" w:line="240" w:lineRule="auto"/>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2</w:t>
            </w:r>
            <w:r w:rsidR="00C5672A" w:rsidRPr="00B365FA">
              <w:rPr>
                <w:rFonts w:ascii="Times New Roman" w:hAnsi="Times New Roman"/>
                <w:color w:val="000000" w:themeColor="text1"/>
                <w:sz w:val="26"/>
                <w:szCs w:val="26"/>
              </w:rPr>
              <w:t>3</w:t>
            </w:r>
          </w:p>
        </w:tc>
        <w:tc>
          <w:tcPr>
            <w:tcW w:w="3400" w:type="dxa"/>
          </w:tcPr>
          <w:p w14:paraId="63023536" w14:textId="2E0FBA6F" w:rsidR="008F42E6"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Luật Tổ chức chính quyền địa phương; Nghị định số 267/2025/NĐ-CP quy định trách nhiệm của cơ quan quản lý nhiệm vụ khoa học, công nghệ và đổi mới sáng tạo; các quy định của pháp luật về chức năng, nhiệm vụ của Sở Khoa học và Công nghệ. Chưa có văn bản của UBND tỉnh quy định đầy đủ trách nhiệm của Sở Khoa học và Công nghệ trong việc tổ chức thực hiện Quy định này</w:t>
            </w:r>
          </w:p>
        </w:tc>
        <w:tc>
          <w:tcPr>
            <w:tcW w:w="2819" w:type="dxa"/>
          </w:tcPr>
          <w:p w14:paraId="66C048EF" w14:textId="55992627" w:rsidR="008F42E6" w:rsidRPr="00B365FA" w:rsidRDefault="00C5672A"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23: </w:t>
            </w:r>
            <w:r w:rsidR="00001DBF" w:rsidRPr="00B365FA">
              <w:rPr>
                <w:rFonts w:ascii="Times New Roman" w:hAnsi="Times New Roman"/>
                <w:color w:val="000000" w:themeColor="text1"/>
                <w:sz w:val="26"/>
                <w:szCs w:val="26"/>
              </w:rPr>
              <w:t>Trách nhiệm của Sở Khoa học và Công nghệ</w:t>
            </w:r>
          </w:p>
        </w:tc>
        <w:tc>
          <w:tcPr>
            <w:tcW w:w="7191" w:type="dxa"/>
          </w:tcPr>
          <w:p w14:paraId="44B273F4" w14:textId="05CCF936"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này được xây dựng nhằm cụ thể hóa trách nhiệm của cơ quan chuyên môn giúp Ủy ban nhân dân tỉnh thực hiện quản lý nhà nước đối với chương trình, nhiệm vụ khoa học, công nghệ và đổi mới sáng tạo sử dụng ngân sách nhà nước trên địa bàn tỉnh. </w:t>
            </w:r>
          </w:p>
          <w:p w14:paraId="0D1723D9" w14:textId="77777777"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Dự thảo quy định cụ thể trách nhiệm của Sở Khoa học và Công nghệ trong việc tham mưu Ủy ban nhân dân tỉnh ban hành và tổ chức thực hiện các cơ chế, chính sách; xây dựng kế hoạch, thông báo tài trợ, đặt hàng; tổ chức tuyển chọn, giao trực tiếp, xét duyệt, thẩm định, ký kết, quản lý, điều chỉnh, gia hạn, đình chỉ, chấm dứt thực hiện nhiệm vụ theo thẩm quyền; kiểm tra, đánh giá, nghiệm thu, quản lý kết quả, tài sản, dữ liệu và cập nhật thông tin trên Hệ thống thông tin quốc gia về khoa học, công nghệ và đổi mới sáng tạo; hướng dẫn, theo dõi, tổng hợp, báo cáo tình hình thực hiện và thực hiện các nhiệm vụ khác theo quy định của pháp luật. </w:t>
            </w:r>
          </w:p>
          <w:p w14:paraId="79BADD60" w14:textId="12E9B539" w:rsidR="008F42E6" w:rsidRPr="00B365FA" w:rsidRDefault="00001DBF"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Việc quy định đầy đủ trách nhiệm của Sở Khoa học và Công nghệ nhằm bảo đảm thống nhất đầu mối quản lý nhà nước, phân định rõ trách nhiệm trong từng khâu của quá trình quản lý chương trình, nhiệm vụ khoa học, công nghệ và đổi mới sáng tạo; đồng thời bảo đảm việc tổ chức thực hiện Quy định được thống nhất, đồng bộ và đúng thẩm quyền. Nội dung Điều 22 không quy định thêm chức năng, nhiệm vụ mới mà chỉ cụ thể hóa việc tổ chức thực hiện các </w:t>
            </w:r>
            <w:r w:rsidRPr="00B365FA">
              <w:rPr>
                <w:rFonts w:ascii="Times New Roman" w:hAnsi="Times New Roman"/>
                <w:color w:val="000000" w:themeColor="text1"/>
                <w:sz w:val="26"/>
                <w:szCs w:val="26"/>
              </w:rPr>
              <w:lastRenderedPageBreak/>
              <w:t>nhiệm vụ đã được Luật và Nghị định giao, phù hợp với chức năng của Sở Khoa học và Công nghệ.</w:t>
            </w:r>
          </w:p>
        </w:tc>
      </w:tr>
      <w:tr w:rsidR="00B552CC" w:rsidRPr="00B365FA" w14:paraId="37CA8BAB" w14:textId="77777777" w:rsidTr="009E036A">
        <w:tc>
          <w:tcPr>
            <w:tcW w:w="1080" w:type="dxa"/>
          </w:tcPr>
          <w:p w14:paraId="7B428D09" w14:textId="55722412" w:rsidR="00B552CC" w:rsidRPr="00B365FA" w:rsidRDefault="00B552CC" w:rsidP="00BA5EFB">
            <w:pPr>
              <w:spacing w:after="0" w:line="240" w:lineRule="auto"/>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2</w:t>
            </w:r>
            <w:r w:rsidR="00C5672A" w:rsidRPr="00B365FA">
              <w:rPr>
                <w:rFonts w:ascii="Times New Roman" w:hAnsi="Times New Roman"/>
                <w:color w:val="000000" w:themeColor="text1"/>
                <w:sz w:val="26"/>
                <w:szCs w:val="26"/>
              </w:rPr>
              <w:t>4</w:t>
            </w:r>
          </w:p>
        </w:tc>
        <w:tc>
          <w:tcPr>
            <w:tcW w:w="3400" w:type="dxa"/>
          </w:tcPr>
          <w:p w14:paraId="4329850F" w14:textId="700F0211"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Luật Ngân sách nhà nước; Luật Tổ chức chính quyền địa phương; các quy định của pháp luật về chức năng, nhiệm vụ của cơ quan tài chính; Nghị định số 267/2025/NĐ-CP quy định trách nhiệm của các cơ quan có liên quan trong quản lý chương trình, nhiệm vụ khoa học, công nghệ và đổi mới sáng tạo. Chưa có quy định cụ thể của UBND tỉnh về trách nhiệm của Sở Tài chính trong tổ chức thực hiện Quy định này.</w:t>
            </w:r>
          </w:p>
        </w:tc>
        <w:tc>
          <w:tcPr>
            <w:tcW w:w="2819" w:type="dxa"/>
          </w:tcPr>
          <w:p w14:paraId="2AE274C8" w14:textId="40A1E8A6"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Điều 2</w:t>
            </w:r>
            <w:r w:rsidR="00C5672A" w:rsidRPr="00B365FA">
              <w:rPr>
                <w:rFonts w:ascii="Times New Roman" w:hAnsi="Times New Roman"/>
                <w:color w:val="000000" w:themeColor="text1"/>
                <w:sz w:val="26"/>
                <w:szCs w:val="26"/>
              </w:rPr>
              <w:t>4</w:t>
            </w:r>
            <w:r w:rsidRPr="00B365FA">
              <w:rPr>
                <w:rFonts w:ascii="Times New Roman" w:hAnsi="Times New Roman"/>
                <w:color w:val="000000" w:themeColor="text1"/>
                <w:sz w:val="26"/>
                <w:szCs w:val="26"/>
              </w:rPr>
              <w:t>.</w:t>
            </w:r>
            <w:r w:rsidR="00C5672A" w:rsidRPr="00B365FA">
              <w:rPr>
                <w:rFonts w:ascii="Times New Roman" w:hAnsi="Times New Roman"/>
                <w:color w:val="000000" w:themeColor="text1"/>
                <w:sz w:val="26"/>
                <w:szCs w:val="26"/>
              </w:rPr>
              <w:t xml:space="preserve"> T</w:t>
            </w:r>
            <w:r w:rsidR="00001DBF" w:rsidRPr="00B365FA">
              <w:rPr>
                <w:rFonts w:ascii="Times New Roman" w:hAnsi="Times New Roman"/>
                <w:color w:val="000000" w:themeColor="text1"/>
                <w:sz w:val="26"/>
                <w:szCs w:val="26"/>
              </w:rPr>
              <w:t>rách nhiệm của Sở Tài chính</w:t>
            </w:r>
          </w:p>
        </w:tc>
        <w:tc>
          <w:tcPr>
            <w:tcW w:w="7191" w:type="dxa"/>
          </w:tcPr>
          <w:p w14:paraId="558E6670" w14:textId="23813D8C"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này được xây nhằm cụ thể hóa trách nhiệm phối hợp của Sở Tài chính trong quản lý chương trình, nhiệm vụ khoa học, công nghệ và đổi mới sáng tạo sử dụng ngân sách nhà nước trên địa bàn tỉnh. </w:t>
            </w:r>
          </w:p>
          <w:p w14:paraId="52FCBEC3" w14:textId="77777777"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Dự thảo quy định trách nhiệm của Sở Tài chính trong việc phối hợp với Sở Khoa học và Công nghệ tham mưu bố trí kinh phí thực hiện chương trình, nhiệm vụ khoa học, công nghệ và đổi mới sáng tạo theo khả năng cân đối ngân sách; hướng dẫn, kiểm tra việc quản lý, sử dụng và quyết toán kinh phí; phối hợp xử lý các nội dung tài chính phát sinh trong quá trình tổ chức thực hiện và thực hiện các nhiệm vụ khác theo quy định của pháp luật. </w:t>
            </w:r>
          </w:p>
          <w:p w14:paraId="4CA6D873" w14:textId="702B50D1" w:rsidR="00B552CC" w:rsidRPr="00B365FA" w:rsidRDefault="00001DBF"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Việc quy định rõ trách nhiệm phối hợp của Sở Tài chính nhằm bảo đảm công tác quản lý, sử dụng ngân sách nhà nước đối với chương trình, nhiệm vụ khoa học, công nghệ và đổi mới sáng tạo được thực hiện thống nhất, đúng quy định của pháp luật về ngân sách nhà nước; đồng thời tăng cường trách nhiệm phối hợp giữa cơ quan quản lý chuyên ngành và cơ quan tài chính trong quá trình tham mưu, tổ chức thực hiện. Nội dung Điều 23 không quy định thêm nhiệm vụ hoặc thẩm quyền mới mà chỉ cụ thể hóa trách nhiệm phối hợp theo quy định của pháp luật hiện hành.</w:t>
            </w:r>
          </w:p>
        </w:tc>
      </w:tr>
      <w:tr w:rsidR="00B552CC" w:rsidRPr="00B365FA" w14:paraId="2798D93B" w14:textId="77777777" w:rsidTr="009E036A">
        <w:tc>
          <w:tcPr>
            <w:tcW w:w="1080" w:type="dxa"/>
          </w:tcPr>
          <w:p w14:paraId="74EDCDCB" w14:textId="278918F3" w:rsidR="00B552CC" w:rsidRPr="00B365FA" w:rsidRDefault="00B552CC" w:rsidP="00BA5EFB">
            <w:pPr>
              <w:spacing w:after="0" w:line="240" w:lineRule="auto"/>
              <w:rPr>
                <w:rFonts w:ascii="Times New Roman" w:hAnsi="Times New Roman"/>
                <w:color w:val="000000" w:themeColor="text1"/>
                <w:sz w:val="26"/>
                <w:szCs w:val="26"/>
              </w:rPr>
            </w:pPr>
            <w:r w:rsidRPr="00B365FA">
              <w:rPr>
                <w:rFonts w:ascii="Times New Roman" w:hAnsi="Times New Roman"/>
                <w:color w:val="000000" w:themeColor="text1"/>
                <w:sz w:val="26"/>
                <w:szCs w:val="26"/>
              </w:rPr>
              <w:t>2</w:t>
            </w:r>
            <w:r w:rsidR="00BE62B1" w:rsidRPr="00B365FA">
              <w:rPr>
                <w:rFonts w:ascii="Times New Roman" w:hAnsi="Times New Roman"/>
                <w:color w:val="000000" w:themeColor="text1"/>
                <w:sz w:val="26"/>
                <w:szCs w:val="26"/>
              </w:rPr>
              <w:t>5</w:t>
            </w:r>
          </w:p>
        </w:tc>
        <w:tc>
          <w:tcPr>
            <w:tcW w:w="3400" w:type="dxa"/>
          </w:tcPr>
          <w:p w14:paraId="61FCCC25" w14:textId="2F3D5CD9"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Luật Tổ chức chính quyền địa phương; Nghị định số 267/2025/NĐ-CP quy định trách nhiệm của các sở, ban, ngành, UBND cấp xã và các </w:t>
            </w:r>
            <w:r w:rsidRPr="00B365FA">
              <w:rPr>
                <w:rFonts w:ascii="Times New Roman" w:hAnsi="Times New Roman"/>
                <w:color w:val="000000" w:themeColor="text1"/>
                <w:sz w:val="26"/>
                <w:szCs w:val="26"/>
              </w:rPr>
              <w:lastRenderedPageBreak/>
              <w:t>cơ quan, tổ chức có liên quan trong quản lý và tổ chức thực hiện chương trình, nhiệm vụ khoa học, công nghệ và đổi mới sáng tạo. Chưa có quy định cụ thể của UBND tỉnh về trách nhiệm phối hợp của các cơ quan, đơn vị trên địa bàn tỉnh</w:t>
            </w:r>
          </w:p>
        </w:tc>
        <w:tc>
          <w:tcPr>
            <w:tcW w:w="2819" w:type="dxa"/>
          </w:tcPr>
          <w:p w14:paraId="3A309AC2" w14:textId="71BC06FD"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Điều 2</w:t>
            </w:r>
            <w:r w:rsidR="00BE62B1" w:rsidRPr="00B365FA">
              <w:rPr>
                <w:rFonts w:ascii="Times New Roman" w:hAnsi="Times New Roman"/>
                <w:color w:val="000000" w:themeColor="text1"/>
                <w:sz w:val="26"/>
                <w:szCs w:val="26"/>
              </w:rPr>
              <w:t>5</w:t>
            </w:r>
            <w:r w:rsidRPr="00B365FA">
              <w:rPr>
                <w:rFonts w:ascii="Times New Roman" w:hAnsi="Times New Roman"/>
                <w:color w:val="000000" w:themeColor="text1"/>
                <w:sz w:val="26"/>
                <w:szCs w:val="26"/>
              </w:rPr>
              <w:t xml:space="preserve">. </w:t>
            </w:r>
            <w:r w:rsidR="00001DBF" w:rsidRPr="00B365FA">
              <w:rPr>
                <w:rFonts w:ascii="Times New Roman" w:hAnsi="Times New Roman"/>
                <w:color w:val="000000" w:themeColor="text1"/>
                <w:sz w:val="26"/>
                <w:szCs w:val="26"/>
              </w:rPr>
              <w:t>Trách nhiệm của các sở, ban, ngành tỉnh; Ủy ban nhân dân các xã, phường</w:t>
            </w:r>
          </w:p>
        </w:tc>
        <w:tc>
          <w:tcPr>
            <w:tcW w:w="7191" w:type="dxa"/>
          </w:tcPr>
          <w:p w14:paraId="31927815" w14:textId="3022EECA"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này được xây dựng nhằm cụ thể hóa trách nhiệm phối hợp của các sở, ban, ngành tỉnh và Ủy ban nhân dân các xã, phường trong quản lý, tổ chức thực hiện chương trình, nhiệm vụ khoa học, công nghệ và đổi mới sáng tạo sử dụng ngân sách nhà nước trên địa bàn tỉnh. </w:t>
            </w:r>
          </w:p>
          <w:p w14:paraId="5B1590CC" w14:textId="77777777"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 xml:space="preserve">Dự thảo quy định trách nhiệm của các sở, ban, ngành tỉnh và Ủy ban nhân dân các xã, phường trong việc đề xuất, đặt hàng nhiệm vụ khoa học, công nghệ và đổi mới sáng tạo thuộc ngành, lĩnh vực, địa bàn quản lý; phối hợp với Sở Khoa học và Công nghệ trong việc xác định nhiệm vụ, tổ chức thực hiện, kiểm tra, đánh giá, nghiệm thu; chủ động ứng dụng kết quả nghiên cứu vào chương trình, kế hoạch, đề án phát triển ngành, lĩnh vực, địa phương; cung cấp thông tin, tài liệu và cử cán bộ tham gia hội đồng, tổ chuyên gia, đoàn kiểm tra, đánh giá khi được yêu cầu theo quy định của pháp luật. </w:t>
            </w:r>
          </w:p>
          <w:p w14:paraId="75ADCCDB" w14:textId="7A8E9E68" w:rsidR="00B552CC" w:rsidRPr="00B365FA" w:rsidRDefault="00001DBF"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Việc quy định cụ thể trách nhiệm phối hợp của các cơ quan, địa phương nhằm bảo đảm sự thống nhất trong tổ chức thực hiện chương trình, nhiệm vụ khoa học, công nghệ và đổi mới sáng tạo trên địa bàn tỉnh; phát huy trách nhiệm của từng cơ quan trong việc đề xuất, ứng dụng và chuyển giao kết quả nghiên cứu phục vụ phát triển kinh tế - xã hội. Nội dung Điều 24 không giao thêm chức năng, nhiệm vụ mới mà chỉ cụ thể hóa trách nhiệm phối hợp theo quy định của Luật và Nghị định, bảo đảm phù hợp với chức năng, nhiệm vụ của từng cơ quan.</w:t>
            </w:r>
          </w:p>
        </w:tc>
      </w:tr>
      <w:tr w:rsidR="00B552CC" w:rsidRPr="00B365FA" w14:paraId="5CB7497D" w14:textId="77777777" w:rsidTr="009E036A">
        <w:tc>
          <w:tcPr>
            <w:tcW w:w="1080" w:type="dxa"/>
          </w:tcPr>
          <w:p w14:paraId="1666C7DE" w14:textId="1DE2D5C2" w:rsidR="00B552CC" w:rsidRPr="00B365FA" w:rsidRDefault="00B552CC" w:rsidP="00BA5EFB">
            <w:pPr>
              <w:spacing w:after="0" w:line="240" w:lineRule="auto"/>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2</w:t>
            </w:r>
            <w:r w:rsidR="00BE62B1" w:rsidRPr="00B365FA">
              <w:rPr>
                <w:rFonts w:ascii="Times New Roman" w:hAnsi="Times New Roman"/>
                <w:color w:val="000000" w:themeColor="text1"/>
                <w:sz w:val="26"/>
                <w:szCs w:val="26"/>
              </w:rPr>
              <w:t>6</w:t>
            </w:r>
          </w:p>
        </w:tc>
        <w:tc>
          <w:tcPr>
            <w:tcW w:w="3400" w:type="dxa"/>
          </w:tcPr>
          <w:p w14:paraId="000E4946" w14:textId="4E9C6005"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Luật Khoa học, công nghệ và đổi mới sáng tạo năm 2025; Nghị định số 267/2025/NĐ-CP quy định trách nhiệm của tổ chức chủ trì, chủ nhiệm nhiệm vụ trong quá trình tổ chức thực hiện, quản lý kết quả, báo cáo, quyết toán kinh phí và chuyển giao, ứng dụng </w:t>
            </w:r>
            <w:r w:rsidRPr="00B365FA">
              <w:rPr>
                <w:rFonts w:ascii="Times New Roman" w:hAnsi="Times New Roman"/>
                <w:color w:val="000000" w:themeColor="text1"/>
                <w:sz w:val="26"/>
                <w:szCs w:val="26"/>
              </w:rPr>
              <w:lastRenderedPageBreak/>
              <w:t>kết quả nhiệm vụ khoa học, công nghệ và đổi mới sáng tạo. Chưa có quy định cụ thể của UBND tỉnh về trách nhiệm của tổ chức chủ trì và chủ nhiệm nhiệm vụ trong phạm vi quản lý của địa phương</w:t>
            </w:r>
          </w:p>
        </w:tc>
        <w:tc>
          <w:tcPr>
            <w:tcW w:w="2819" w:type="dxa"/>
          </w:tcPr>
          <w:p w14:paraId="3F1DA9B1" w14:textId="0586155C"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Điều 2</w:t>
            </w:r>
            <w:r w:rsidR="00BE62B1" w:rsidRPr="00B365FA">
              <w:rPr>
                <w:rFonts w:ascii="Times New Roman" w:hAnsi="Times New Roman"/>
                <w:color w:val="000000" w:themeColor="text1"/>
                <w:sz w:val="26"/>
                <w:szCs w:val="26"/>
              </w:rPr>
              <w:t>6</w:t>
            </w:r>
            <w:r w:rsidRPr="00B365FA">
              <w:rPr>
                <w:rFonts w:ascii="Times New Roman" w:hAnsi="Times New Roman"/>
                <w:color w:val="000000" w:themeColor="text1"/>
                <w:sz w:val="26"/>
                <w:szCs w:val="26"/>
              </w:rPr>
              <w:t xml:space="preserve">. </w:t>
            </w:r>
            <w:r w:rsidR="00001DBF" w:rsidRPr="00B365FA">
              <w:rPr>
                <w:rFonts w:ascii="Times New Roman" w:hAnsi="Times New Roman"/>
                <w:color w:val="000000" w:themeColor="text1"/>
                <w:sz w:val="26"/>
                <w:szCs w:val="26"/>
              </w:rPr>
              <w:t>Trách nhiệm của tổ chức chủ trì và Chủ nhiệm nhiệm vụ</w:t>
            </w:r>
          </w:p>
        </w:tc>
        <w:tc>
          <w:tcPr>
            <w:tcW w:w="7191" w:type="dxa"/>
          </w:tcPr>
          <w:p w14:paraId="46C797C6" w14:textId="472F876F"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này được xây dựng nhằm cụ thể hóa trách nhiệm của tổ chức chủ trì và Chủ nhiệm nhiệm vụ trong quá trình tổ chức thực hiện nhiệm vụ khoa học, công nghệ và đổi mới sáng tạo sử dụng ngân sách nhà nước trên địa bàn tỉnh. </w:t>
            </w:r>
          </w:p>
          <w:p w14:paraId="72166FE7" w14:textId="77777777"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Dự thảo quy định cụ thể trách nhiệm của tổ chức chủ trì và Chủ nhiệm nhiệm vụ trong việc tổ chức thực hiện nhiệm vụ đúng mục tiêu, nội dung, tiến độ, sản phẩm, dự toán kinh phí, hợp đồng và quyết định phê duyệt; chịu trách nhiệm về tính trung thực, chính xác của hồ sơ, kết quả nghiên cứu, số liệu và tài liệu chuyên môn; </w:t>
            </w:r>
            <w:r w:rsidRPr="00B365FA">
              <w:rPr>
                <w:rFonts w:ascii="Times New Roman" w:hAnsi="Times New Roman"/>
                <w:color w:val="000000" w:themeColor="text1"/>
                <w:sz w:val="26"/>
                <w:szCs w:val="26"/>
              </w:rPr>
              <w:lastRenderedPageBreak/>
              <w:t xml:space="preserve">quản lý, sử dụng kinh phí, tài sản, hồ sơ, dữ liệu theo quy định; thực hiện chế độ báo cáo; chuyển giao, ứng dụng kết quả nghiên cứu; chấp hành việc kiểm tra, giám sát, thanh tra và thực hiện các nghĩa vụ khác theo quy định của pháp luật. </w:t>
            </w:r>
          </w:p>
          <w:p w14:paraId="7003CC08" w14:textId="687589AB" w:rsidR="00B552CC" w:rsidRPr="00B365FA" w:rsidRDefault="00001DBF"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Việc quy định cụ thể trách nhiệm của tổ chức chủ trì và Chủ nhiệm nhiệm vụ nhằm nâng cao trách nhiệm giải trình trong quá trình sử dụng ngân sách nhà nước, bảo đảm chất lượng kết quả nghiên cứu và hiệu quả ứng dụng vào thực tiễn; đồng thời tạo cơ sở pháp lý thống nhất để cơ quan quản lý nhà nước theo dõi, kiểm tra, đánh giá việc tổ chức thực hiện nhiệm vụ. Nội dung Điều 25 không đặt ra quyền, nghĩa vụ hoặc điều kiện mới mà chỉ cụ thể hóa trách nhiệm của tổ chức chủ trì và Chủ nhiệm nhiệm vụ theo quy định của Luật và Nghị định.</w:t>
            </w:r>
          </w:p>
        </w:tc>
      </w:tr>
      <w:tr w:rsidR="00B552CC" w:rsidRPr="00B365FA" w14:paraId="36912E00" w14:textId="77777777" w:rsidTr="009E036A">
        <w:tc>
          <w:tcPr>
            <w:tcW w:w="1080" w:type="dxa"/>
          </w:tcPr>
          <w:p w14:paraId="58C7FBB9" w14:textId="62036675" w:rsidR="00B552CC" w:rsidRPr="00B365FA" w:rsidRDefault="00B552CC" w:rsidP="00BA5EFB">
            <w:pPr>
              <w:spacing w:after="0" w:line="240" w:lineRule="auto"/>
              <w:rPr>
                <w:rFonts w:ascii="Times New Roman" w:hAnsi="Times New Roman"/>
                <w:color w:val="000000" w:themeColor="text1"/>
                <w:sz w:val="26"/>
                <w:szCs w:val="26"/>
              </w:rPr>
            </w:pPr>
            <w:r w:rsidRPr="00B365FA">
              <w:rPr>
                <w:rFonts w:ascii="Times New Roman" w:hAnsi="Times New Roman"/>
                <w:color w:val="000000" w:themeColor="text1"/>
                <w:sz w:val="26"/>
                <w:szCs w:val="26"/>
              </w:rPr>
              <w:lastRenderedPageBreak/>
              <w:t>2</w:t>
            </w:r>
            <w:r w:rsidR="00BE62B1" w:rsidRPr="00B365FA">
              <w:rPr>
                <w:rFonts w:ascii="Times New Roman" w:hAnsi="Times New Roman"/>
                <w:color w:val="000000" w:themeColor="text1"/>
                <w:sz w:val="26"/>
                <w:szCs w:val="26"/>
              </w:rPr>
              <w:t>7</w:t>
            </w:r>
          </w:p>
        </w:tc>
        <w:tc>
          <w:tcPr>
            <w:tcW w:w="3400" w:type="dxa"/>
          </w:tcPr>
          <w:p w14:paraId="0B10D6CE" w14:textId="7BD54003" w:rsidR="00B552CC" w:rsidRPr="00B365FA" w:rsidRDefault="00B552CC"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Luật Tổ chức chính quyền địa phương; Luật Khoa học, công nghệ và đổi mới sáng tạo; Nghị định số 267/2025/NĐ-CP quy định trách nhiệm của cơ quan quản lý nhà nước trong việc tổ chức thực hiện và nguyên tắc áp dụng văn bản quy phạm pháp luật khi văn bản được dẫn chiếu được sửa đổi, bổ sung hoặc thay thế.</w:t>
            </w:r>
          </w:p>
        </w:tc>
        <w:tc>
          <w:tcPr>
            <w:tcW w:w="2819" w:type="dxa"/>
          </w:tcPr>
          <w:p w14:paraId="200D5436" w14:textId="5370536B" w:rsidR="00B552CC" w:rsidRPr="00B365FA" w:rsidRDefault="00673994"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Điều 2</w:t>
            </w:r>
            <w:r w:rsidR="00BE62B1" w:rsidRPr="00B365FA">
              <w:rPr>
                <w:rFonts w:ascii="Times New Roman" w:hAnsi="Times New Roman"/>
                <w:color w:val="000000" w:themeColor="text1"/>
                <w:sz w:val="26"/>
                <w:szCs w:val="26"/>
              </w:rPr>
              <w:t>7.</w:t>
            </w:r>
            <w:r w:rsidRPr="00B365FA">
              <w:rPr>
                <w:rFonts w:ascii="Times New Roman" w:hAnsi="Times New Roman"/>
                <w:color w:val="000000" w:themeColor="text1"/>
                <w:sz w:val="26"/>
                <w:szCs w:val="26"/>
              </w:rPr>
              <w:t xml:space="preserve"> </w:t>
            </w:r>
            <w:r w:rsidR="00001DBF" w:rsidRPr="00B365FA">
              <w:rPr>
                <w:rFonts w:ascii="Times New Roman" w:hAnsi="Times New Roman"/>
                <w:color w:val="000000" w:themeColor="text1"/>
                <w:sz w:val="26"/>
                <w:szCs w:val="26"/>
              </w:rPr>
              <w:t>Tổ chức thực hiện</w:t>
            </w:r>
          </w:p>
        </w:tc>
        <w:tc>
          <w:tcPr>
            <w:tcW w:w="7191" w:type="dxa"/>
          </w:tcPr>
          <w:p w14:paraId="3D96927F" w14:textId="056B952E"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Điều này được xây dựng nhằm quy định trách nhiệm tổ chức triển khai thực hiện Quy định sau khi được Ủy ban nhân dân tỉnh ban hành. </w:t>
            </w:r>
          </w:p>
          <w:p w14:paraId="547ED532" w14:textId="77777777" w:rsidR="00001DBF" w:rsidRPr="00B365FA" w:rsidRDefault="00001DBF" w:rsidP="00001DBF">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Dự thảo quy định trách nhiệm của Sở Khoa học và Công nghệ trong việc hướng dẫn, theo dõi, kiểm tra, đôn đốc việc thực hiện Quy định; đồng thời quy định nguyên tắc áp dụng đối với trường hợp các văn bản quy phạm pháp luật được dẫn chiếu trong Quy định này được sửa đổi, bổ sung hoặc thay thế thì thực hiện theo văn bản mới tương ứng, bảo đảm tính thống nhất và kịp thời trong quá trình áp dụng pháp luật. </w:t>
            </w:r>
          </w:p>
          <w:p w14:paraId="3A645803" w14:textId="715A9B8C" w:rsidR="00B552CC" w:rsidRPr="00B365FA" w:rsidRDefault="00001DBF" w:rsidP="00BA5EFB">
            <w:pPr>
              <w:rPr>
                <w:rFonts w:ascii="Times New Roman" w:hAnsi="Times New Roman"/>
                <w:color w:val="000000" w:themeColor="text1"/>
                <w:sz w:val="26"/>
                <w:szCs w:val="26"/>
              </w:rPr>
            </w:pPr>
            <w:r w:rsidRPr="00B365FA">
              <w:rPr>
                <w:rFonts w:ascii="Times New Roman" w:hAnsi="Times New Roman"/>
                <w:color w:val="000000" w:themeColor="text1"/>
                <w:sz w:val="26"/>
                <w:szCs w:val="26"/>
              </w:rPr>
              <w:t xml:space="preserve">Việc quy định Điều 26 nhằm bảo đảm Quy định được triển khai thống nhất trên địa bàn tỉnh, xác định rõ đầu mối tổ chức thực hiện và cơ chế xử lý khi có sự thay đổi của các văn bản pháp luật được dẫn chiếu. Nội dung Điều 26 không phát sinh trách nhiệm quản lý </w:t>
            </w:r>
            <w:r w:rsidRPr="00B365FA">
              <w:rPr>
                <w:rFonts w:ascii="Times New Roman" w:hAnsi="Times New Roman"/>
                <w:color w:val="000000" w:themeColor="text1"/>
                <w:sz w:val="26"/>
                <w:szCs w:val="26"/>
              </w:rPr>
              <w:lastRenderedPageBreak/>
              <w:t>nhà nước mới mà chỉ quy định trách nhiệm tổ chức thực hiện và nguyên tắc áp dụng văn bản quy phạm pháp luật theo quy định hiện hành, góp phần bảo đảm tính ổn định, đồng bộ và khả thi của Quy định trong quá trình thực hiện.</w:t>
            </w:r>
          </w:p>
        </w:tc>
      </w:tr>
    </w:tbl>
    <w:p w14:paraId="5DFAE925" w14:textId="77777777" w:rsidR="0063209E" w:rsidRDefault="0063209E" w:rsidP="00BC7F88">
      <w:pPr>
        <w:spacing w:after="0" w:line="240" w:lineRule="auto"/>
        <w:jc w:val="center"/>
        <w:rPr>
          <w:rFonts w:ascii="Times New Roman" w:hAnsi="Times New Roman"/>
          <w:b/>
          <w:bCs/>
          <w:sz w:val="28"/>
          <w:szCs w:val="28"/>
        </w:rPr>
      </w:pPr>
    </w:p>
    <w:p w14:paraId="0B9654A6" w14:textId="77777777" w:rsidR="0063209E" w:rsidRDefault="0063209E" w:rsidP="00BC7F88">
      <w:pPr>
        <w:spacing w:after="0" w:line="240" w:lineRule="auto"/>
        <w:jc w:val="center"/>
        <w:rPr>
          <w:rFonts w:ascii="Times New Roman" w:hAnsi="Times New Roman"/>
          <w:b/>
          <w:bCs/>
          <w:sz w:val="28"/>
          <w:szCs w:val="28"/>
        </w:rPr>
      </w:pPr>
    </w:p>
    <w:p w14:paraId="4EC5CD46" w14:textId="77777777" w:rsidR="0063209E" w:rsidRDefault="0063209E" w:rsidP="00BC7F88">
      <w:pPr>
        <w:spacing w:after="0" w:line="240" w:lineRule="auto"/>
        <w:jc w:val="center"/>
        <w:rPr>
          <w:rFonts w:ascii="Times New Roman" w:hAnsi="Times New Roman"/>
          <w:b/>
          <w:bCs/>
          <w:sz w:val="28"/>
          <w:szCs w:val="28"/>
        </w:rPr>
      </w:pPr>
    </w:p>
    <w:p w14:paraId="3E2E3839" w14:textId="77777777" w:rsidR="0063209E" w:rsidRDefault="0063209E" w:rsidP="00BC7F88">
      <w:pPr>
        <w:spacing w:after="0" w:line="240" w:lineRule="auto"/>
        <w:jc w:val="center"/>
        <w:rPr>
          <w:rFonts w:ascii="Times New Roman" w:hAnsi="Times New Roman"/>
          <w:b/>
          <w:bCs/>
          <w:sz w:val="28"/>
          <w:szCs w:val="28"/>
        </w:rPr>
      </w:pPr>
    </w:p>
    <w:p w14:paraId="55D775C2" w14:textId="77777777" w:rsidR="0063209E" w:rsidRDefault="0063209E" w:rsidP="00BC7F88">
      <w:pPr>
        <w:spacing w:after="0" w:line="240" w:lineRule="auto"/>
        <w:jc w:val="center"/>
        <w:rPr>
          <w:rFonts w:ascii="Times New Roman" w:hAnsi="Times New Roman"/>
          <w:b/>
          <w:bCs/>
          <w:sz w:val="28"/>
          <w:szCs w:val="28"/>
        </w:rPr>
      </w:pPr>
    </w:p>
    <w:p w14:paraId="766E7C82" w14:textId="77777777" w:rsidR="0063209E" w:rsidRDefault="0063209E" w:rsidP="00BC7F88">
      <w:pPr>
        <w:spacing w:after="0" w:line="240" w:lineRule="auto"/>
        <w:jc w:val="center"/>
        <w:rPr>
          <w:rFonts w:ascii="Times New Roman" w:hAnsi="Times New Roman"/>
          <w:b/>
          <w:bCs/>
          <w:sz w:val="28"/>
          <w:szCs w:val="28"/>
        </w:rPr>
      </w:pPr>
    </w:p>
    <w:p w14:paraId="56E541D5" w14:textId="77777777" w:rsidR="0063209E" w:rsidRDefault="0063209E" w:rsidP="00BC7F88">
      <w:pPr>
        <w:spacing w:after="0" w:line="240" w:lineRule="auto"/>
        <w:jc w:val="center"/>
        <w:rPr>
          <w:rFonts w:ascii="Times New Roman" w:hAnsi="Times New Roman"/>
          <w:b/>
          <w:bCs/>
          <w:sz w:val="28"/>
          <w:szCs w:val="28"/>
        </w:rPr>
      </w:pPr>
    </w:p>
    <w:p w14:paraId="1B799A29" w14:textId="77777777" w:rsidR="0063209E" w:rsidRDefault="0063209E" w:rsidP="00BC7F88">
      <w:pPr>
        <w:spacing w:after="0" w:line="240" w:lineRule="auto"/>
        <w:jc w:val="center"/>
        <w:rPr>
          <w:rFonts w:ascii="Times New Roman" w:hAnsi="Times New Roman"/>
          <w:b/>
          <w:bCs/>
          <w:sz w:val="28"/>
          <w:szCs w:val="28"/>
        </w:rPr>
      </w:pPr>
    </w:p>
    <w:p w14:paraId="00FAD8F7" w14:textId="77777777" w:rsidR="0063209E" w:rsidRDefault="0063209E" w:rsidP="00BC7F88">
      <w:pPr>
        <w:spacing w:after="0" w:line="240" w:lineRule="auto"/>
        <w:jc w:val="center"/>
        <w:rPr>
          <w:rFonts w:ascii="Times New Roman" w:hAnsi="Times New Roman"/>
          <w:b/>
          <w:bCs/>
          <w:sz w:val="28"/>
          <w:szCs w:val="28"/>
        </w:rPr>
      </w:pPr>
    </w:p>
    <w:p w14:paraId="7C692E09" w14:textId="77777777" w:rsidR="0063209E" w:rsidRDefault="0063209E" w:rsidP="00BC7F88">
      <w:pPr>
        <w:spacing w:after="0" w:line="240" w:lineRule="auto"/>
        <w:jc w:val="center"/>
        <w:rPr>
          <w:rFonts w:ascii="Times New Roman" w:hAnsi="Times New Roman"/>
          <w:b/>
          <w:bCs/>
          <w:sz w:val="28"/>
          <w:szCs w:val="28"/>
        </w:rPr>
      </w:pPr>
    </w:p>
    <w:p w14:paraId="3690E831" w14:textId="77777777" w:rsidR="0063209E" w:rsidRDefault="0063209E" w:rsidP="00BC7F88">
      <w:pPr>
        <w:spacing w:after="0" w:line="240" w:lineRule="auto"/>
        <w:jc w:val="center"/>
        <w:rPr>
          <w:rFonts w:ascii="Times New Roman" w:hAnsi="Times New Roman"/>
          <w:b/>
          <w:bCs/>
          <w:sz w:val="28"/>
          <w:szCs w:val="28"/>
        </w:rPr>
      </w:pPr>
    </w:p>
    <w:p w14:paraId="59B5D26F" w14:textId="77777777" w:rsidR="0063209E" w:rsidRDefault="0063209E" w:rsidP="00BC7F88">
      <w:pPr>
        <w:spacing w:after="0" w:line="240" w:lineRule="auto"/>
        <w:jc w:val="center"/>
        <w:rPr>
          <w:rFonts w:ascii="Times New Roman" w:hAnsi="Times New Roman"/>
          <w:b/>
          <w:bCs/>
          <w:sz w:val="28"/>
          <w:szCs w:val="28"/>
        </w:rPr>
      </w:pPr>
    </w:p>
    <w:p w14:paraId="2F7005C2" w14:textId="77777777" w:rsidR="0063209E" w:rsidRDefault="0063209E" w:rsidP="00BC7F88">
      <w:pPr>
        <w:spacing w:after="0" w:line="240" w:lineRule="auto"/>
        <w:jc w:val="center"/>
        <w:rPr>
          <w:rFonts w:ascii="Times New Roman" w:hAnsi="Times New Roman"/>
          <w:b/>
          <w:bCs/>
          <w:sz w:val="28"/>
          <w:szCs w:val="28"/>
        </w:rPr>
      </w:pPr>
    </w:p>
    <w:p w14:paraId="5E3A7288" w14:textId="77777777" w:rsidR="0063209E" w:rsidRDefault="0063209E" w:rsidP="00BC7F88">
      <w:pPr>
        <w:spacing w:after="0" w:line="240" w:lineRule="auto"/>
        <w:jc w:val="center"/>
        <w:rPr>
          <w:rFonts w:ascii="Times New Roman" w:hAnsi="Times New Roman"/>
          <w:b/>
          <w:bCs/>
          <w:sz w:val="28"/>
          <w:szCs w:val="28"/>
        </w:rPr>
      </w:pPr>
    </w:p>
    <w:p w14:paraId="22B8CBD9" w14:textId="77777777" w:rsidR="001522E2" w:rsidRPr="008D4BB1" w:rsidRDefault="001522E2" w:rsidP="001522E2">
      <w:pPr>
        <w:spacing w:after="0" w:line="240" w:lineRule="auto"/>
        <w:jc w:val="center"/>
        <w:rPr>
          <w:rFonts w:ascii="Times New Roman" w:hAnsi="Times New Roman"/>
          <w:b/>
          <w:bCs/>
          <w:sz w:val="28"/>
          <w:szCs w:val="28"/>
        </w:rPr>
      </w:pPr>
    </w:p>
    <w:p w14:paraId="2AE7FFA5" w14:textId="77777777" w:rsidR="0063209E" w:rsidRDefault="0063209E" w:rsidP="0063209E"/>
    <w:p w14:paraId="70E5E1CC" w14:textId="77777777" w:rsidR="00BF17A6" w:rsidRPr="008D4BB1" w:rsidRDefault="00BF17A6" w:rsidP="007D32A8">
      <w:pPr>
        <w:spacing w:before="120" w:after="120" w:line="264" w:lineRule="auto"/>
        <w:ind w:firstLine="720"/>
        <w:jc w:val="both"/>
        <w:rPr>
          <w:rFonts w:ascii="Times New Roman" w:hAnsi="Times New Roman"/>
          <w:i/>
          <w:sz w:val="28"/>
          <w:szCs w:val="28"/>
        </w:rPr>
      </w:pPr>
    </w:p>
    <w:sectPr w:rsidR="00BF17A6" w:rsidRPr="008D4BB1" w:rsidSect="00064A46">
      <w:headerReference w:type="default" r:id="rId8"/>
      <w:pgSz w:w="16840" w:h="11907" w:orient="landscape" w:code="9"/>
      <w:pgMar w:top="1134" w:right="1134" w:bottom="1134" w:left="1701" w:header="56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A2187" w14:textId="77777777" w:rsidR="00C45B92" w:rsidRDefault="00C45B92" w:rsidP="009E3BC9">
      <w:pPr>
        <w:spacing w:after="0" w:line="240" w:lineRule="auto"/>
      </w:pPr>
      <w:r>
        <w:separator/>
      </w:r>
    </w:p>
  </w:endnote>
  <w:endnote w:type="continuationSeparator" w:id="0">
    <w:p w14:paraId="7796DB9F" w14:textId="77777777" w:rsidR="00C45B92" w:rsidRDefault="00C45B92" w:rsidP="009E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5FB58" w14:textId="77777777" w:rsidR="00C45B92" w:rsidRDefault="00C45B92" w:rsidP="009E3BC9">
      <w:pPr>
        <w:spacing w:after="0" w:line="240" w:lineRule="auto"/>
      </w:pPr>
      <w:r>
        <w:separator/>
      </w:r>
    </w:p>
  </w:footnote>
  <w:footnote w:type="continuationSeparator" w:id="0">
    <w:p w14:paraId="212B4F0F" w14:textId="77777777" w:rsidR="00C45B92" w:rsidRDefault="00C45B92" w:rsidP="009E3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2248"/>
      <w:docPartObj>
        <w:docPartGallery w:val="Page Numbers (Top of Page)"/>
        <w:docPartUnique/>
      </w:docPartObj>
    </w:sdtPr>
    <w:sdtEndPr>
      <w:rPr>
        <w:rFonts w:ascii="Times New Roman" w:hAnsi="Times New Roman"/>
        <w:noProof/>
        <w:sz w:val="24"/>
        <w:szCs w:val="24"/>
      </w:rPr>
    </w:sdtEndPr>
    <w:sdtContent>
      <w:p w14:paraId="226C7D84" w14:textId="59CEED8A" w:rsidR="00AF301B" w:rsidRPr="00AF301B" w:rsidRDefault="00AF301B">
        <w:pPr>
          <w:pStyle w:val="Header"/>
          <w:jc w:val="center"/>
          <w:rPr>
            <w:rFonts w:ascii="Times New Roman" w:hAnsi="Times New Roman"/>
            <w:sz w:val="24"/>
            <w:szCs w:val="24"/>
          </w:rPr>
        </w:pPr>
        <w:r w:rsidRPr="00AF301B">
          <w:rPr>
            <w:rFonts w:ascii="Times New Roman" w:hAnsi="Times New Roman"/>
            <w:sz w:val="24"/>
            <w:szCs w:val="24"/>
          </w:rPr>
          <w:fldChar w:fldCharType="begin"/>
        </w:r>
        <w:r w:rsidRPr="00AF301B">
          <w:rPr>
            <w:rFonts w:ascii="Times New Roman" w:hAnsi="Times New Roman"/>
            <w:sz w:val="24"/>
            <w:szCs w:val="24"/>
          </w:rPr>
          <w:instrText xml:space="preserve"> PAGE   \* MERGEFORMAT </w:instrText>
        </w:r>
        <w:r w:rsidRPr="00AF301B">
          <w:rPr>
            <w:rFonts w:ascii="Times New Roman" w:hAnsi="Times New Roman"/>
            <w:sz w:val="24"/>
            <w:szCs w:val="24"/>
          </w:rPr>
          <w:fldChar w:fldCharType="separate"/>
        </w:r>
        <w:r w:rsidR="00312A09">
          <w:rPr>
            <w:rFonts w:ascii="Times New Roman" w:hAnsi="Times New Roman"/>
            <w:noProof/>
            <w:sz w:val="24"/>
            <w:szCs w:val="24"/>
          </w:rPr>
          <w:t>2</w:t>
        </w:r>
        <w:r w:rsidRPr="00AF301B">
          <w:rPr>
            <w:rFonts w:ascii="Times New Roman" w:hAnsi="Times New Roman"/>
            <w:noProof/>
            <w:sz w:val="24"/>
            <w:szCs w:val="24"/>
          </w:rPr>
          <w:fldChar w:fldCharType="end"/>
        </w:r>
      </w:p>
    </w:sdtContent>
  </w:sdt>
  <w:p w14:paraId="49D985DD" w14:textId="77777777" w:rsidR="00AF301B" w:rsidRDefault="00AF3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6C6B"/>
    <w:multiLevelType w:val="hybridMultilevel"/>
    <w:tmpl w:val="BABE7B18"/>
    <w:lvl w:ilvl="0" w:tplc="F87AECDE">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 w15:restartNumberingAfterBreak="0">
    <w:nsid w:val="0A4A726C"/>
    <w:multiLevelType w:val="hybridMultilevel"/>
    <w:tmpl w:val="D7E06614"/>
    <w:lvl w:ilvl="0" w:tplc="91D2A4D0">
      <w:numFmt w:val="bullet"/>
      <w:lvlText w:val="-"/>
      <w:lvlJc w:val="left"/>
      <w:pPr>
        <w:ind w:left="110" w:hanging="204"/>
      </w:pPr>
      <w:rPr>
        <w:rFonts w:ascii="Times New Roman" w:eastAsia="Times New Roman" w:hAnsi="Times New Roman" w:cs="Times New Roman" w:hint="default"/>
        <w:b w:val="0"/>
        <w:bCs w:val="0"/>
        <w:i w:val="0"/>
        <w:iCs w:val="0"/>
        <w:spacing w:val="0"/>
        <w:w w:val="100"/>
        <w:sz w:val="28"/>
        <w:szCs w:val="28"/>
        <w:lang w:eastAsia="en-US" w:bidi="ar-SA"/>
      </w:rPr>
    </w:lvl>
    <w:lvl w:ilvl="1" w:tplc="69FA08F4">
      <w:numFmt w:val="bullet"/>
      <w:lvlText w:val="•"/>
      <w:lvlJc w:val="left"/>
      <w:pPr>
        <w:ind w:left="592" w:hanging="204"/>
      </w:pPr>
      <w:rPr>
        <w:rFonts w:hint="default"/>
        <w:lang w:eastAsia="en-US" w:bidi="ar-SA"/>
      </w:rPr>
    </w:lvl>
    <w:lvl w:ilvl="2" w:tplc="D59A074E">
      <w:numFmt w:val="bullet"/>
      <w:lvlText w:val="•"/>
      <w:lvlJc w:val="left"/>
      <w:pPr>
        <w:ind w:left="1064" w:hanging="204"/>
      </w:pPr>
      <w:rPr>
        <w:rFonts w:hint="default"/>
        <w:lang w:eastAsia="en-US" w:bidi="ar-SA"/>
      </w:rPr>
    </w:lvl>
    <w:lvl w:ilvl="3" w:tplc="B94C0F66">
      <w:numFmt w:val="bullet"/>
      <w:lvlText w:val="•"/>
      <w:lvlJc w:val="left"/>
      <w:pPr>
        <w:ind w:left="1536" w:hanging="204"/>
      </w:pPr>
      <w:rPr>
        <w:rFonts w:hint="default"/>
        <w:lang w:eastAsia="en-US" w:bidi="ar-SA"/>
      </w:rPr>
    </w:lvl>
    <w:lvl w:ilvl="4" w:tplc="14E4B570">
      <w:numFmt w:val="bullet"/>
      <w:lvlText w:val="•"/>
      <w:lvlJc w:val="left"/>
      <w:pPr>
        <w:ind w:left="2008" w:hanging="204"/>
      </w:pPr>
      <w:rPr>
        <w:rFonts w:hint="default"/>
        <w:lang w:eastAsia="en-US" w:bidi="ar-SA"/>
      </w:rPr>
    </w:lvl>
    <w:lvl w:ilvl="5" w:tplc="1D1899DA">
      <w:numFmt w:val="bullet"/>
      <w:lvlText w:val="•"/>
      <w:lvlJc w:val="left"/>
      <w:pPr>
        <w:ind w:left="2480" w:hanging="204"/>
      </w:pPr>
      <w:rPr>
        <w:rFonts w:hint="default"/>
        <w:lang w:eastAsia="en-US" w:bidi="ar-SA"/>
      </w:rPr>
    </w:lvl>
    <w:lvl w:ilvl="6" w:tplc="C80600A6">
      <w:numFmt w:val="bullet"/>
      <w:lvlText w:val="•"/>
      <w:lvlJc w:val="left"/>
      <w:pPr>
        <w:ind w:left="2952" w:hanging="204"/>
      </w:pPr>
      <w:rPr>
        <w:rFonts w:hint="default"/>
        <w:lang w:eastAsia="en-US" w:bidi="ar-SA"/>
      </w:rPr>
    </w:lvl>
    <w:lvl w:ilvl="7" w:tplc="58FA02DC">
      <w:numFmt w:val="bullet"/>
      <w:lvlText w:val="•"/>
      <w:lvlJc w:val="left"/>
      <w:pPr>
        <w:ind w:left="3424" w:hanging="204"/>
      </w:pPr>
      <w:rPr>
        <w:rFonts w:hint="default"/>
        <w:lang w:eastAsia="en-US" w:bidi="ar-SA"/>
      </w:rPr>
    </w:lvl>
    <w:lvl w:ilvl="8" w:tplc="FE8A9728">
      <w:numFmt w:val="bullet"/>
      <w:lvlText w:val="•"/>
      <w:lvlJc w:val="left"/>
      <w:pPr>
        <w:ind w:left="3896" w:hanging="204"/>
      </w:pPr>
      <w:rPr>
        <w:rFonts w:hint="default"/>
        <w:lang w:eastAsia="en-US" w:bidi="ar-SA"/>
      </w:rPr>
    </w:lvl>
  </w:abstractNum>
  <w:abstractNum w:abstractNumId="2" w15:restartNumberingAfterBreak="0">
    <w:nsid w:val="0F206E13"/>
    <w:multiLevelType w:val="hybridMultilevel"/>
    <w:tmpl w:val="51B293B4"/>
    <w:lvl w:ilvl="0" w:tplc="CCE03A7C">
      <w:numFmt w:val="bullet"/>
      <w:lvlText w:val="-"/>
      <w:lvlJc w:val="left"/>
      <w:pPr>
        <w:ind w:left="107" w:hanging="166"/>
      </w:pPr>
      <w:rPr>
        <w:rFonts w:ascii="Times New Roman" w:eastAsia="Times New Roman" w:hAnsi="Times New Roman" w:cs="Times New Roman" w:hint="default"/>
        <w:b w:val="0"/>
        <w:bCs w:val="0"/>
        <w:i w:val="0"/>
        <w:iCs w:val="0"/>
        <w:spacing w:val="0"/>
        <w:w w:val="100"/>
        <w:sz w:val="28"/>
        <w:szCs w:val="28"/>
        <w:lang w:eastAsia="en-US" w:bidi="ar-SA"/>
      </w:rPr>
    </w:lvl>
    <w:lvl w:ilvl="1" w:tplc="0D4215E0">
      <w:numFmt w:val="bullet"/>
      <w:lvlText w:val="•"/>
      <w:lvlJc w:val="left"/>
      <w:pPr>
        <w:ind w:left="613" w:hanging="166"/>
      </w:pPr>
      <w:rPr>
        <w:rFonts w:hint="default"/>
        <w:lang w:eastAsia="en-US" w:bidi="ar-SA"/>
      </w:rPr>
    </w:lvl>
    <w:lvl w:ilvl="2" w:tplc="A64EA498">
      <w:numFmt w:val="bullet"/>
      <w:lvlText w:val="•"/>
      <w:lvlJc w:val="left"/>
      <w:pPr>
        <w:ind w:left="1126" w:hanging="166"/>
      </w:pPr>
      <w:rPr>
        <w:rFonts w:hint="default"/>
        <w:lang w:eastAsia="en-US" w:bidi="ar-SA"/>
      </w:rPr>
    </w:lvl>
    <w:lvl w:ilvl="3" w:tplc="C616D2D4">
      <w:numFmt w:val="bullet"/>
      <w:lvlText w:val="•"/>
      <w:lvlJc w:val="left"/>
      <w:pPr>
        <w:ind w:left="1639" w:hanging="166"/>
      </w:pPr>
      <w:rPr>
        <w:rFonts w:hint="default"/>
        <w:lang w:eastAsia="en-US" w:bidi="ar-SA"/>
      </w:rPr>
    </w:lvl>
    <w:lvl w:ilvl="4" w:tplc="89BA22D4">
      <w:numFmt w:val="bullet"/>
      <w:lvlText w:val="•"/>
      <w:lvlJc w:val="left"/>
      <w:pPr>
        <w:ind w:left="2152" w:hanging="166"/>
      </w:pPr>
      <w:rPr>
        <w:rFonts w:hint="default"/>
        <w:lang w:eastAsia="en-US" w:bidi="ar-SA"/>
      </w:rPr>
    </w:lvl>
    <w:lvl w:ilvl="5" w:tplc="9BFA6D28">
      <w:numFmt w:val="bullet"/>
      <w:lvlText w:val="•"/>
      <w:lvlJc w:val="left"/>
      <w:pPr>
        <w:ind w:left="2665" w:hanging="166"/>
      </w:pPr>
      <w:rPr>
        <w:rFonts w:hint="default"/>
        <w:lang w:eastAsia="en-US" w:bidi="ar-SA"/>
      </w:rPr>
    </w:lvl>
    <w:lvl w:ilvl="6" w:tplc="008082B4">
      <w:numFmt w:val="bullet"/>
      <w:lvlText w:val="•"/>
      <w:lvlJc w:val="left"/>
      <w:pPr>
        <w:ind w:left="3178" w:hanging="166"/>
      </w:pPr>
      <w:rPr>
        <w:rFonts w:hint="default"/>
        <w:lang w:eastAsia="en-US" w:bidi="ar-SA"/>
      </w:rPr>
    </w:lvl>
    <w:lvl w:ilvl="7" w:tplc="BE44EEE4">
      <w:numFmt w:val="bullet"/>
      <w:lvlText w:val="•"/>
      <w:lvlJc w:val="left"/>
      <w:pPr>
        <w:ind w:left="3691" w:hanging="166"/>
      </w:pPr>
      <w:rPr>
        <w:rFonts w:hint="default"/>
        <w:lang w:eastAsia="en-US" w:bidi="ar-SA"/>
      </w:rPr>
    </w:lvl>
    <w:lvl w:ilvl="8" w:tplc="64464B70">
      <w:numFmt w:val="bullet"/>
      <w:lvlText w:val="•"/>
      <w:lvlJc w:val="left"/>
      <w:pPr>
        <w:ind w:left="4204" w:hanging="166"/>
      </w:pPr>
      <w:rPr>
        <w:rFonts w:hint="default"/>
        <w:lang w:eastAsia="en-US" w:bidi="ar-SA"/>
      </w:rPr>
    </w:lvl>
  </w:abstractNum>
  <w:abstractNum w:abstractNumId="3" w15:restartNumberingAfterBreak="0">
    <w:nsid w:val="193B2770"/>
    <w:multiLevelType w:val="hybridMultilevel"/>
    <w:tmpl w:val="53D69EA8"/>
    <w:lvl w:ilvl="0" w:tplc="1A988768">
      <w:start w:val="6"/>
      <w:numFmt w:val="decimal"/>
      <w:lvlText w:val="%1."/>
      <w:lvlJc w:val="left"/>
      <w:pPr>
        <w:ind w:left="108" w:hanging="285"/>
      </w:pPr>
      <w:rPr>
        <w:rFonts w:ascii="Times New Roman" w:eastAsia="Times New Roman" w:hAnsi="Times New Roman" w:cs="Times New Roman" w:hint="default"/>
        <w:b w:val="0"/>
        <w:bCs w:val="0"/>
        <w:i w:val="0"/>
        <w:iCs w:val="0"/>
        <w:spacing w:val="0"/>
        <w:w w:val="100"/>
        <w:sz w:val="28"/>
        <w:szCs w:val="28"/>
        <w:lang w:eastAsia="en-US" w:bidi="ar-SA"/>
      </w:rPr>
    </w:lvl>
    <w:lvl w:ilvl="1" w:tplc="19760CE2">
      <w:numFmt w:val="bullet"/>
      <w:lvlText w:val="•"/>
      <w:lvlJc w:val="left"/>
      <w:pPr>
        <w:ind w:left="573" w:hanging="285"/>
      </w:pPr>
      <w:rPr>
        <w:rFonts w:hint="default"/>
        <w:lang w:eastAsia="en-US" w:bidi="ar-SA"/>
      </w:rPr>
    </w:lvl>
    <w:lvl w:ilvl="2" w:tplc="AA249A88">
      <w:numFmt w:val="bullet"/>
      <w:lvlText w:val="•"/>
      <w:lvlJc w:val="left"/>
      <w:pPr>
        <w:ind w:left="1047" w:hanging="285"/>
      </w:pPr>
      <w:rPr>
        <w:rFonts w:hint="default"/>
        <w:lang w:eastAsia="en-US" w:bidi="ar-SA"/>
      </w:rPr>
    </w:lvl>
    <w:lvl w:ilvl="3" w:tplc="FCAE5454">
      <w:numFmt w:val="bullet"/>
      <w:lvlText w:val="•"/>
      <w:lvlJc w:val="left"/>
      <w:pPr>
        <w:ind w:left="1521" w:hanging="285"/>
      </w:pPr>
      <w:rPr>
        <w:rFonts w:hint="default"/>
        <w:lang w:eastAsia="en-US" w:bidi="ar-SA"/>
      </w:rPr>
    </w:lvl>
    <w:lvl w:ilvl="4" w:tplc="A7806050">
      <w:numFmt w:val="bullet"/>
      <w:lvlText w:val="•"/>
      <w:lvlJc w:val="left"/>
      <w:pPr>
        <w:ind w:left="1995" w:hanging="285"/>
      </w:pPr>
      <w:rPr>
        <w:rFonts w:hint="default"/>
        <w:lang w:eastAsia="en-US" w:bidi="ar-SA"/>
      </w:rPr>
    </w:lvl>
    <w:lvl w:ilvl="5" w:tplc="39C6C5F4">
      <w:numFmt w:val="bullet"/>
      <w:lvlText w:val="•"/>
      <w:lvlJc w:val="left"/>
      <w:pPr>
        <w:ind w:left="2469" w:hanging="285"/>
      </w:pPr>
      <w:rPr>
        <w:rFonts w:hint="default"/>
        <w:lang w:eastAsia="en-US" w:bidi="ar-SA"/>
      </w:rPr>
    </w:lvl>
    <w:lvl w:ilvl="6" w:tplc="9FBA4EDC">
      <w:numFmt w:val="bullet"/>
      <w:lvlText w:val="•"/>
      <w:lvlJc w:val="left"/>
      <w:pPr>
        <w:ind w:left="2943" w:hanging="285"/>
      </w:pPr>
      <w:rPr>
        <w:rFonts w:hint="default"/>
        <w:lang w:eastAsia="en-US" w:bidi="ar-SA"/>
      </w:rPr>
    </w:lvl>
    <w:lvl w:ilvl="7" w:tplc="B49A10D8">
      <w:numFmt w:val="bullet"/>
      <w:lvlText w:val="•"/>
      <w:lvlJc w:val="left"/>
      <w:pPr>
        <w:ind w:left="3417" w:hanging="285"/>
      </w:pPr>
      <w:rPr>
        <w:rFonts w:hint="default"/>
        <w:lang w:eastAsia="en-US" w:bidi="ar-SA"/>
      </w:rPr>
    </w:lvl>
    <w:lvl w:ilvl="8" w:tplc="A9B8A0AC">
      <w:numFmt w:val="bullet"/>
      <w:lvlText w:val="•"/>
      <w:lvlJc w:val="left"/>
      <w:pPr>
        <w:ind w:left="3891" w:hanging="285"/>
      </w:pPr>
      <w:rPr>
        <w:rFonts w:hint="default"/>
        <w:lang w:eastAsia="en-US" w:bidi="ar-SA"/>
      </w:rPr>
    </w:lvl>
  </w:abstractNum>
  <w:abstractNum w:abstractNumId="4" w15:restartNumberingAfterBreak="0">
    <w:nsid w:val="1E9A424C"/>
    <w:multiLevelType w:val="hybridMultilevel"/>
    <w:tmpl w:val="453EF026"/>
    <w:lvl w:ilvl="0" w:tplc="A56CB53A">
      <w:start w:val="1"/>
      <w:numFmt w:val="decimal"/>
      <w:lvlText w:val="%1."/>
      <w:lvlJc w:val="left"/>
      <w:pPr>
        <w:ind w:left="108" w:hanging="300"/>
      </w:pPr>
      <w:rPr>
        <w:rFonts w:ascii="Times New Roman" w:eastAsia="Times New Roman" w:hAnsi="Times New Roman" w:cs="Times New Roman" w:hint="default"/>
        <w:b w:val="0"/>
        <w:bCs w:val="0"/>
        <w:i w:val="0"/>
        <w:iCs w:val="0"/>
        <w:spacing w:val="0"/>
        <w:w w:val="100"/>
        <w:sz w:val="28"/>
        <w:szCs w:val="28"/>
        <w:lang w:eastAsia="en-US" w:bidi="ar-SA"/>
      </w:rPr>
    </w:lvl>
    <w:lvl w:ilvl="1" w:tplc="1F08BF2E">
      <w:numFmt w:val="bullet"/>
      <w:lvlText w:val="•"/>
      <w:lvlJc w:val="left"/>
      <w:pPr>
        <w:ind w:left="573" w:hanging="300"/>
      </w:pPr>
      <w:rPr>
        <w:rFonts w:hint="default"/>
        <w:lang w:eastAsia="en-US" w:bidi="ar-SA"/>
      </w:rPr>
    </w:lvl>
    <w:lvl w:ilvl="2" w:tplc="B866D9C0">
      <w:numFmt w:val="bullet"/>
      <w:lvlText w:val="•"/>
      <w:lvlJc w:val="left"/>
      <w:pPr>
        <w:ind w:left="1047" w:hanging="300"/>
      </w:pPr>
      <w:rPr>
        <w:rFonts w:hint="default"/>
        <w:lang w:eastAsia="en-US" w:bidi="ar-SA"/>
      </w:rPr>
    </w:lvl>
    <w:lvl w:ilvl="3" w:tplc="2242B0FA">
      <w:numFmt w:val="bullet"/>
      <w:lvlText w:val="•"/>
      <w:lvlJc w:val="left"/>
      <w:pPr>
        <w:ind w:left="1521" w:hanging="300"/>
      </w:pPr>
      <w:rPr>
        <w:rFonts w:hint="default"/>
        <w:lang w:eastAsia="en-US" w:bidi="ar-SA"/>
      </w:rPr>
    </w:lvl>
    <w:lvl w:ilvl="4" w:tplc="D632F3FA">
      <w:numFmt w:val="bullet"/>
      <w:lvlText w:val="•"/>
      <w:lvlJc w:val="left"/>
      <w:pPr>
        <w:ind w:left="1995" w:hanging="300"/>
      </w:pPr>
      <w:rPr>
        <w:rFonts w:hint="default"/>
        <w:lang w:eastAsia="en-US" w:bidi="ar-SA"/>
      </w:rPr>
    </w:lvl>
    <w:lvl w:ilvl="5" w:tplc="6AB28A6E">
      <w:numFmt w:val="bullet"/>
      <w:lvlText w:val="•"/>
      <w:lvlJc w:val="left"/>
      <w:pPr>
        <w:ind w:left="2469" w:hanging="300"/>
      </w:pPr>
      <w:rPr>
        <w:rFonts w:hint="default"/>
        <w:lang w:eastAsia="en-US" w:bidi="ar-SA"/>
      </w:rPr>
    </w:lvl>
    <w:lvl w:ilvl="6" w:tplc="30D00B6E">
      <w:numFmt w:val="bullet"/>
      <w:lvlText w:val="•"/>
      <w:lvlJc w:val="left"/>
      <w:pPr>
        <w:ind w:left="2943" w:hanging="300"/>
      </w:pPr>
      <w:rPr>
        <w:rFonts w:hint="default"/>
        <w:lang w:eastAsia="en-US" w:bidi="ar-SA"/>
      </w:rPr>
    </w:lvl>
    <w:lvl w:ilvl="7" w:tplc="BE40379A">
      <w:numFmt w:val="bullet"/>
      <w:lvlText w:val="•"/>
      <w:lvlJc w:val="left"/>
      <w:pPr>
        <w:ind w:left="3417" w:hanging="300"/>
      </w:pPr>
      <w:rPr>
        <w:rFonts w:hint="default"/>
        <w:lang w:eastAsia="en-US" w:bidi="ar-SA"/>
      </w:rPr>
    </w:lvl>
    <w:lvl w:ilvl="8" w:tplc="6B9A5136">
      <w:numFmt w:val="bullet"/>
      <w:lvlText w:val="•"/>
      <w:lvlJc w:val="left"/>
      <w:pPr>
        <w:ind w:left="3891" w:hanging="300"/>
      </w:pPr>
      <w:rPr>
        <w:rFonts w:hint="default"/>
        <w:lang w:eastAsia="en-US" w:bidi="ar-SA"/>
      </w:rPr>
    </w:lvl>
  </w:abstractNum>
  <w:abstractNum w:abstractNumId="5" w15:restartNumberingAfterBreak="0">
    <w:nsid w:val="2A8D193D"/>
    <w:multiLevelType w:val="hybridMultilevel"/>
    <w:tmpl w:val="E83E45C8"/>
    <w:lvl w:ilvl="0" w:tplc="7A9296CA">
      <w:numFmt w:val="bullet"/>
      <w:lvlText w:val="-"/>
      <w:lvlJc w:val="left"/>
      <w:pPr>
        <w:ind w:left="107" w:hanging="154"/>
      </w:pPr>
      <w:rPr>
        <w:rFonts w:ascii="Times New Roman" w:eastAsia="Times New Roman" w:hAnsi="Times New Roman" w:cs="Times New Roman" w:hint="default"/>
        <w:b w:val="0"/>
        <w:bCs w:val="0"/>
        <w:i w:val="0"/>
        <w:iCs w:val="0"/>
        <w:spacing w:val="0"/>
        <w:w w:val="100"/>
        <w:sz w:val="28"/>
        <w:szCs w:val="28"/>
        <w:lang w:eastAsia="en-US" w:bidi="ar-SA"/>
      </w:rPr>
    </w:lvl>
    <w:lvl w:ilvl="1" w:tplc="6FDE0DBE">
      <w:numFmt w:val="bullet"/>
      <w:lvlText w:val="•"/>
      <w:lvlJc w:val="left"/>
      <w:pPr>
        <w:ind w:left="613" w:hanging="154"/>
      </w:pPr>
      <w:rPr>
        <w:rFonts w:hint="default"/>
        <w:lang w:eastAsia="en-US" w:bidi="ar-SA"/>
      </w:rPr>
    </w:lvl>
    <w:lvl w:ilvl="2" w:tplc="74E050FE">
      <w:numFmt w:val="bullet"/>
      <w:lvlText w:val="•"/>
      <w:lvlJc w:val="left"/>
      <w:pPr>
        <w:ind w:left="1126" w:hanging="154"/>
      </w:pPr>
      <w:rPr>
        <w:rFonts w:hint="default"/>
        <w:lang w:eastAsia="en-US" w:bidi="ar-SA"/>
      </w:rPr>
    </w:lvl>
    <w:lvl w:ilvl="3" w:tplc="B6A2FA06">
      <w:numFmt w:val="bullet"/>
      <w:lvlText w:val="•"/>
      <w:lvlJc w:val="left"/>
      <w:pPr>
        <w:ind w:left="1639" w:hanging="154"/>
      </w:pPr>
      <w:rPr>
        <w:rFonts w:hint="default"/>
        <w:lang w:eastAsia="en-US" w:bidi="ar-SA"/>
      </w:rPr>
    </w:lvl>
    <w:lvl w:ilvl="4" w:tplc="39EA1AC0">
      <w:numFmt w:val="bullet"/>
      <w:lvlText w:val="•"/>
      <w:lvlJc w:val="left"/>
      <w:pPr>
        <w:ind w:left="2152" w:hanging="154"/>
      </w:pPr>
      <w:rPr>
        <w:rFonts w:hint="default"/>
        <w:lang w:eastAsia="en-US" w:bidi="ar-SA"/>
      </w:rPr>
    </w:lvl>
    <w:lvl w:ilvl="5" w:tplc="AC3ADE60">
      <w:numFmt w:val="bullet"/>
      <w:lvlText w:val="•"/>
      <w:lvlJc w:val="left"/>
      <w:pPr>
        <w:ind w:left="2665" w:hanging="154"/>
      </w:pPr>
      <w:rPr>
        <w:rFonts w:hint="default"/>
        <w:lang w:eastAsia="en-US" w:bidi="ar-SA"/>
      </w:rPr>
    </w:lvl>
    <w:lvl w:ilvl="6" w:tplc="81B2F2D6">
      <w:numFmt w:val="bullet"/>
      <w:lvlText w:val="•"/>
      <w:lvlJc w:val="left"/>
      <w:pPr>
        <w:ind w:left="3178" w:hanging="154"/>
      </w:pPr>
      <w:rPr>
        <w:rFonts w:hint="default"/>
        <w:lang w:eastAsia="en-US" w:bidi="ar-SA"/>
      </w:rPr>
    </w:lvl>
    <w:lvl w:ilvl="7" w:tplc="ABC89D6A">
      <w:numFmt w:val="bullet"/>
      <w:lvlText w:val="•"/>
      <w:lvlJc w:val="left"/>
      <w:pPr>
        <w:ind w:left="3691" w:hanging="154"/>
      </w:pPr>
      <w:rPr>
        <w:rFonts w:hint="default"/>
        <w:lang w:eastAsia="en-US" w:bidi="ar-SA"/>
      </w:rPr>
    </w:lvl>
    <w:lvl w:ilvl="8" w:tplc="76E23ACC">
      <w:numFmt w:val="bullet"/>
      <w:lvlText w:val="•"/>
      <w:lvlJc w:val="left"/>
      <w:pPr>
        <w:ind w:left="4204" w:hanging="154"/>
      </w:pPr>
      <w:rPr>
        <w:rFonts w:hint="default"/>
        <w:lang w:eastAsia="en-US" w:bidi="ar-SA"/>
      </w:rPr>
    </w:lvl>
  </w:abstractNum>
  <w:abstractNum w:abstractNumId="6" w15:restartNumberingAfterBreak="0">
    <w:nsid w:val="39507910"/>
    <w:multiLevelType w:val="hybridMultilevel"/>
    <w:tmpl w:val="5CBAC686"/>
    <w:lvl w:ilvl="0" w:tplc="7D4EB8E2">
      <w:start w:val="12"/>
      <w:numFmt w:val="decimal"/>
      <w:lvlText w:val="%1."/>
      <w:lvlJc w:val="left"/>
      <w:pPr>
        <w:ind w:left="108" w:hanging="446"/>
      </w:pPr>
      <w:rPr>
        <w:rFonts w:ascii="Times New Roman" w:eastAsia="Times New Roman" w:hAnsi="Times New Roman" w:cs="Times New Roman" w:hint="default"/>
        <w:b w:val="0"/>
        <w:bCs w:val="0"/>
        <w:i w:val="0"/>
        <w:iCs w:val="0"/>
        <w:spacing w:val="0"/>
        <w:w w:val="100"/>
        <w:sz w:val="28"/>
        <w:szCs w:val="28"/>
        <w:lang w:eastAsia="en-US" w:bidi="ar-SA"/>
      </w:rPr>
    </w:lvl>
    <w:lvl w:ilvl="1" w:tplc="6B9CD4BC">
      <w:numFmt w:val="bullet"/>
      <w:lvlText w:val="•"/>
      <w:lvlJc w:val="left"/>
      <w:pPr>
        <w:ind w:left="573" w:hanging="446"/>
      </w:pPr>
      <w:rPr>
        <w:rFonts w:hint="default"/>
        <w:lang w:eastAsia="en-US" w:bidi="ar-SA"/>
      </w:rPr>
    </w:lvl>
    <w:lvl w:ilvl="2" w:tplc="F2040632">
      <w:numFmt w:val="bullet"/>
      <w:lvlText w:val="•"/>
      <w:lvlJc w:val="left"/>
      <w:pPr>
        <w:ind w:left="1047" w:hanging="446"/>
      </w:pPr>
      <w:rPr>
        <w:rFonts w:hint="default"/>
        <w:lang w:eastAsia="en-US" w:bidi="ar-SA"/>
      </w:rPr>
    </w:lvl>
    <w:lvl w:ilvl="3" w:tplc="F58CC4E4">
      <w:numFmt w:val="bullet"/>
      <w:lvlText w:val="•"/>
      <w:lvlJc w:val="left"/>
      <w:pPr>
        <w:ind w:left="1521" w:hanging="446"/>
      </w:pPr>
      <w:rPr>
        <w:rFonts w:hint="default"/>
        <w:lang w:eastAsia="en-US" w:bidi="ar-SA"/>
      </w:rPr>
    </w:lvl>
    <w:lvl w:ilvl="4" w:tplc="D2629B3A">
      <w:numFmt w:val="bullet"/>
      <w:lvlText w:val="•"/>
      <w:lvlJc w:val="left"/>
      <w:pPr>
        <w:ind w:left="1995" w:hanging="446"/>
      </w:pPr>
      <w:rPr>
        <w:rFonts w:hint="default"/>
        <w:lang w:eastAsia="en-US" w:bidi="ar-SA"/>
      </w:rPr>
    </w:lvl>
    <w:lvl w:ilvl="5" w:tplc="840665AA">
      <w:numFmt w:val="bullet"/>
      <w:lvlText w:val="•"/>
      <w:lvlJc w:val="left"/>
      <w:pPr>
        <w:ind w:left="2469" w:hanging="446"/>
      </w:pPr>
      <w:rPr>
        <w:rFonts w:hint="default"/>
        <w:lang w:eastAsia="en-US" w:bidi="ar-SA"/>
      </w:rPr>
    </w:lvl>
    <w:lvl w:ilvl="6" w:tplc="7F72D9AE">
      <w:numFmt w:val="bullet"/>
      <w:lvlText w:val="•"/>
      <w:lvlJc w:val="left"/>
      <w:pPr>
        <w:ind w:left="2943" w:hanging="446"/>
      </w:pPr>
      <w:rPr>
        <w:rFonts w:hint="default"/>
        <w:lang w:eastAsia="en-US" w:bidi="ar-SA"/>
      </w:rPr>
    </w:lvl>
    <w:lvl w:ilvl="7" w:tplc="65B09F9A">
      <w:numFmt w:val="bullet"/>
      <w:lvlText w:val="•"/>
      <w:lvlJc w:val="left"/>
      <w:pPr>
        <w:ind w:left="3417" w:hanging="446"/>
      </w:pPr>
      <w:rPr>
        <w:rFonts w:hint="default"/>
        <w:lang w:eastAsia="en-US" w:bidi="ar-SA"/>
      </w:rPr>
    </w:lvl>
    <w:lvl w:ilvl="8" w:tplc="41084430">
      <w:numFmt w:val="bullet"/>
      <w:lvlText w:val="•"/>
      <w:lvlJc w:val="left"/>
      <w:pPr>
        <w:ind w:left="3891" w:hanging="446"/>
      </w:pPr>
      <w:rPr>
        <w:rFonts w:hint="default"/>
        <w:lang w:eastAsia="en-US" w:bidi="ar-SA"/>
      </w:rPr>
    </w:lvl>
  </w:abstractNum>
  <w:abstractNum w:abstractNumId="7" w15:restartNumberingAfterBreak="0">
    <w:nsid w:val="405C3D7B"/>
    <w:multiLevelType w:val="hybridMultilevel"/>
    <w:tmpl w:val="E34A4C82"/>
    <w:lvl w:ilvl="0" w:tplc="DEE0CE38">
      <w:start w:val="1"/>
      <w:numFmt w:val="decimal"/>
      <w:lvlText w:val="%1."/>
      <w:lvlJc w:val="left"/>
      <w:pPr>
        <w:ind w:left="532" w:hanging="360"/>
      </w:pPr>
      <w:rPr>
        <w:rFonts w:hint="default"/>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8" w15:restartNumberingAfterBreak="0">
    <w:nsid w:val="45632983"/>
    <w:multiLevelType w:val="hybridMultilevel"/>
    <w:tmpl w:val="903A64AE"/>
    <w:lvl w:ilvl="0" w:tplc="F4785A5E">
      <w:numFmt w:val="bullet"/>
      <w:lvlText w:val="-"/>
      <w:lvlJc w:val="left"/>
      <w:pPr>
        <w:ind w:left="107" w:hanging="166"/>
      </w:pPr>
      <w:rPr>
        <w:rFonts w:ascii="Times New Roman" w:eastAsia="Times New Roman" w:hAnsi="Times New Roman" w:cs="Times New Roman" w:hint="default"/>
        <w:b w:val="0"/>
        <w:bCs w:val="0"/>
        <w:i w:val="0"/>
        <w:iCs w:val="0"/>
        <w:spacing w:val="0"/>
        <w:w w:val="100"/>
        <w:sz w:val="28"/>
        <w:szCs w:val="28"/>
        <w:lang w:eastAsia="en-US" w:bidi="ar-SA"/>
      </w:rPr>
    </w:lvl>
    <w:lvl w:ilvl="1" w:tplc="4EC420F6">
      <w:numFmt w:val="bullet"/>
      <w:lvlText w:val="•"/>
      <w:lvlJc w:val="left"/>
      <w:pPr>
        <w:ind w:left="613" w:hanging="166"/>
      </w:pPr>
      <w:rPr>
        <w:rFonts w:hint="default"/>
        <w:lang w:eastAsia="en-US" w:bidi="ar-SA"/>
      </w:rPr>
    </w:lvl>
    <w:lvl w:ilvl="2" w:tplc="DD826636">
      <w:numFmt w:val="bullet"/>
      <w:lvlText w:val="•"/>
      <w:lvlJc w:val="left"/>
      <w:pPr>
        <w:ind w:left="1126" w:hanging="166"/>
      </w:pPr>
      <w:rPr>
        <w:rFonts w:hint="default"/>
        <w:lang w:eastAsia="en-US" w:bidi="ar-SA"/>
      </w:rPr>
    </w:lvl>
    <w:lvl w:ilvl="3" w:tplc="8A240420">
      <w:numFmt w:val="bullet"/>
      <w:lvlText w:val="•"/>
      <w:lvlJc w:val="left"/>
      <w:pPr>
        <w:ind w:left="1639" w:hanging="166"/>
      </w:pPr>
      <w:rPr>
        <w:rFonts w:hint="default"/>
        <w:lang w:eastAsia="en-US" w:bidi="ar-SA"/>
      </w:rPr>
    </w:lvl>
    <w:lvl w:ilvl="4" w:tplc="A7CCB442">
      <w:numFmt w:val="bullet"/>
      <w:lvlText w:val="•"/>
      <w:lvlJc w:val="left"/>
      <w:pPr>
        <w:ind w:left="2152" w:hanging="166"/>
      </w:pPr>
      <w:rPr>
        <w:rFonts w:hint="default"/>
        <w:lang w:eastAsia="en-US" w:bidi="ar-SA"/>
      </w:rPr>
    </w:lvl>
    <w:lvl w:ilvl="5" w:tplc="F0CEAD40">
      <w:numFmt w:val="bullet"/>
      <w:lvlText w:val="•"/>
      <w:lvlJc w:val="left"/>
      <w:pPr>
        <w:ind w:left="2665" w:hanging="166"/>
      </w:pPr>
      <w:rPr>
        <w:rFonts w:hint="default"/>
        <w:lang w:eastAsia="en-US" w:bidi="ar-SA"/>
      </w:rPr>
    </w:lvl>
    <w:lvl w:ilvl="6" w:tplc="24EE434A">
      <w:numFmt w:val="bullet"/>
      <w:lvlText w:val="•"/>
      <w:lvlJc w:val="left"/>
      <w:pPr>
        <w:ind w:left="3178" w:hanging="166"/>
      </w:pPr>
      <w:rPr>
        <w:rFonts w:hint="default"/>
        <w:lang w:eastAsia="en-US" w:bidi="ar-SA"/>
      </w:rPr>
    </w:lvl>
    <w:lvl w:ilvl="7" w:tplc="CB8A28F6">
      <w:numFmt w:val="bullet"/>
      <w:lvlText w:val="•"/>
      <w:lvlJc w:val="left"/>
      <w:pPr>
        <w:ind w:left="3691" w:hanging="166"/>
      </w:pPr>
      <w:rPr>
        <w:rFonts w:hint="default"/>
        <w:lang w:eastAsia="en-US" w:bidi="ar-SA"/>
      </w:rPr>
    </w:lvl>
    <w:lvl w:ilvl="8" w:tplc="DFC2D8B6">
      <w:numFmt w:val="bullet"/>
      <w:lvlText w:val="•"/>
      <w:lvlJc w:val="left"/>
      <w:pPr>
        <w:ind w:left="4204" w:hanging="166"/>
      </w:pPr>
      <w:rPr>
        <w:rFonts w:hint="default"/>
        <w:lang w:eastAsia="en-US" w:bidi="ar-SA"/>
      </w:rPr>
    </w:lvl>
  </w:abstractNum>
  <w:abstractNum w:abstractNumId="9" w15:restartNumberingAfterBreak="0">
    <w:nsid w:val="575A7199"/>
    <w:multiLevelType w:val="hybridMultilevel"/>
    <w:tmpl w:val="8A0C94EC"/>
    <w:lvl w:ilvl="0" w:tplc="B29203D2">
      <w:start w:val="4"/>
      <w:numFmt w:val="decimal"/>
      <w:lvlText w:val="%1."/>
      <w:lvlJc w:val="left"/>
      <w:pPr>
        <w:ind w:left="108" w:hanging="326"/>
      </w:pPr>
      <w:rPr>
        <w:rFonts w:ascii="Times New Roman" w:eastAsia="Times New Roman" w:hAnsi="Times New Roman" w:cs="Times New Roman" w:hint="default"/>
        <w:b w:val="0"/>
        <w:bCs w:val="0"/>
        <w:i w:val="0"/>
        <w:iCs w:val="0"/>
        <w:spacing w:val="0"/>
        <w:w w:val="100"/>
        <w:sz w:val="28"/>
        <w:szCs w:val="28"/>
        <w:lang w:eastAsia="en-US" w:bidi="ar-SA"/>
      </w:rPr>
    </w:lvl>
    <w:lvl w:ilvl="1" w:tplc="C78E111E">
      <w:numFmt w:val="bullet"/>
      <w:lvlText w:val="•"/>
      <w:lvlJc w:val="left"/>
      <w:pPr>
        <w:ind w:left="573" w:hanging="326"/>
      </w:pPr>
      <w:rPr>
        <w:rFonts w:hint="default"/>
        <w:lang w:eastAsia="en-US" w:bidi="ar-SA"/>
      </w:rPr>
    </w:lvl>
    <w:lvl w:ilvl="2" w:tplc="F5C633FC">
      <w:numFmt w:val="bullet"/>
      <w:lvlText w:val="•"/>
      <w:lvlJc w:val="left"/>
      <w:pPr>
        <w:ind w:left="1047" w:hanging="326"/>
      </w:pPr>
      <w:rPr>
        <w:rFonts w:hint="default"/>
        <w:lang w:eastAsia="en-US" w:bidi="ar-SA"/>
      </w:rPr>
    </w:lvl>
    <w:lvl w:ilvl="3" w:tplc="D102DC80">
      <w:numFmt w:val="bullet"/>
      <w:lvlText w:val="•"/>
      <w:lvlJc w:val="left"/>
      <w:pPr>
        <w:ind w:left="1521" w:hanging="326"/>
      </w:pPr>
      <w:rPr>
        <w:rFonts w:hint="default"/>
        <w:lang w:eastAsia="en-US" w:bidi="ar-SA"/>
      </w:rPr>
    </w:lvl>
    <w:lvl w:ilvl="4" w:tplc="A37A1784">
      <w:numFmt w:val="bullet"/>
      <w:lvlText w:val="•"/>
      <w:lvlJc w:val="left"/>
      <w:pPr>
        <w:ind w:left="1995" w:hanging="326"/>
      </w:pPr>
      <w:rPr>
        <w:rFonts w:hint="default"/>
        <w:lang w:eastAsia="en-US" w:bidi="ar-SA"/>
      </w:rPr>
    </w:lvl>
    <w:lvl w:ilvl="5" w:tplc="6FEC46D2">
      <w:numFmt w:val="bullet"/>
      <w:lvlText w:val="•"/>
      <w:lvlJc w:val="left"/>
      <w:pPr>
        <w:ind w:left="2469" w:hanging="326"/>
      </w:pPr>
      <w:rPr>
        <w:rFonts w:hint="default"/>
        <w:lang w:eastAsia="en-US" w:bidi="ar-SA"/>
      </w:rPr>
    </w:lvl>
    <w:lvl w:ilvl="6" w:tplc="5CDAA07A">
      <w:numFmt w:val="bullet"/>
      <w:lvlText w:val="•"/>
      <w:lvlJc w:val="left"/>
      <w:pPr>
        <w:ind w:left="2943" w:hanging="326"/>
      </w:pPr>
      <w:rPr>
        <w:rFonts w:hint="default"/>
        <w:lang w:eastAsia="en-US" w:bidi="ar-SA"/>
      </w:rPr>
    </w:lvl>
    <w:lvl w:ilvl="7" w:tplc="D2882FA4">
      <w:numFmt w:val="bullet"/>
      <w:lvlText w:val="•"/>
      <w:lvlJc w:val="left"/>
      <w:pPr>
        <w:ind w:left="3417" w:hanging="326"/>
      </w:pPr>
      <w:rPr>
        <w:rFonts w:hint="default"/>
        <w:lang w:eastAsia="en-US" w:bidi="ar-SA"/>
      </w:rPr>
    </w:lvl>
    <w:lvl w:ilvl="8" w:tplc="F6DE3FE6">
      <w:numFmt w:val="bullet"/>
      <w:lvlText w:val="•"/>
      <w:lvlJc w:val="left"/>
      <w:pPr>
        <w:ind w:left="3891" w:hanging="326"/>
      </w:pPr>
      <w:rPr>
        <w:rFonts w:hint="default"/>
        <w:lang w:eastAsia="en-US" w:bidi="ar-SA"/>
      </w:rPr>
    </w:lvl>
  </w:abstractNum>
  <w:abstractNum w:abstractNumId="10" w15:restartNumberingAfterBreak="0">
    <w:nsid w:val="67E452BD"/>
    <w:multiLevelType w:val="multilevel"/>
    <w:tmpl w:val="E798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2195422">
    <w:abstractNumId w:val="5"/>
  </w:num>
  <w:num w:numId="2" w16cid:durableId="837774001">
    <w:abstractNumId w:val="8"/>
  </w:num>
  <w:num w:numId="3" w16cid:durableId="933049841">
    <w:abstractNumId w:val="2"/>
  </w:num>
  <w:num w:numId="4" w16cid:durableId="547106778">
    <w:abstractNumId w:val="4"/>
  </w:num>
  <w:num w:numId="5" w16cid:durableId="1728138968">
    <w:abstractNumId w:val="1"/>
  </w:num>
  <w:num w:numId="6" w16cid:durableId="1290630888">
    <w:abstractNumId w:val="9"/>
  </w:num>
  <w:num w:numId="7" w16cid:durableId="1384869134">
    <w:abstractNumId w:val="3"/>
  </w:num>
  <w:num w:numId="8" w16cid:durableId="665012466">
    <w:abstractNumId w:val="6"/>
  </w:num>
  <w:num w:numId="9" w16cid:durableId="1397167079">
    <w:abstractNumId w:val="0"/>
  </w:num>
  <w:num w:numId="10" w16cid:durableId="13701670">
    <w:abstractNumId w:val="10"/>
  </w:num>
  <w:num w:numId="11" w16cid:durableId="198246675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30B0"/>
    <w:rsid w:val="00001DBF"/>
    <w:rsid w:val="00004522"/>
    <w:rsid w:val="00004992"/>
    <w:rsid w:val="00012551"/>
    <w:rsid w:val="00022B0F"/>
    <w:rsid w:val="00042341"/>
    <w:rsid w:val="000425F5"/>
    <w:rsid w:val="000560B4"/>
    <w:rsid w:val="00060188"/>
    <w:rsid w:val="0006124F"/>
    <w:rsid w:val="00064A46"/>
    <w:rsid w:val="00065045"/>
    <w:rsid w:val="000660D7"/>
    <w:rsid w:val="00075779"/>
    <w:rsid w:val="00080F9F"/>
    <w:rsid w:val="00087253"/>
    <w:rsid w:val="00087AAD"/>
    <w:rsid w:val="00090A0B"/>
    <w:rsid w:val="00097D20"/>
    <w:rsid w:val="000A189E"/>
    <w:rsid w:val="000C3579"/>
    <w:rsid w:val="000C3D58"/>
    <w:rsid w:val="000D1F07"/>
    <w:rsid w:val="000D3ED7"/>
    <w:rsid w:val="000E10CC"/>
    <w:rsid w:val="000E1550"/>
    <w:rsid w:val="000F06FE"/>
    <w:rsid w:val="000F3206"/>
    <w:rsid w:val="0010485A"/>
    <w:rsid w:val="00106917"/>
    <w:rsid w:val="0011308C"/>
    <w:rsid w:val="00113524"/>
    <w:rsid w:val="00135847"/>
    <w:rsid w:val="00140303"/>
    <w:rsid w:val="0015062F"/>
    <w:rsid w:val="001522E2"/>
    <w:rsid w:val="001528A0"/>
    <w:rsid w:val="00162B0C"/>
    <w:rsid w:val="001764AF"/>
    <w:rsid w:val="00180575"/>
    <w:rsid w:val="00180FBC"/>
    <w:rsid w:val="00182FE7"/>
    <w:rsid w:val="00197B64"/>
    <w:rsid w:val="001A1D60"/>
    <w:rsid w:val="001B2CC5"/>
    <w:rsid w:val="001C1AD7"/>
    <w:rsid w:val="001C7476"/>
    <w:rsid w:val="001D001E"/>
    <w:rsid w:val="001E3693"/>
    <w:rsid w:val="001E711E"/>
    <w:rsid w:val="001F17C5"/>
    <w:rsid w:val="001F63E4"/>
    <w:rsid w:val="0020246B"/>
    <w:rsid w:val="00206B23"/>
    <w:rsid w:val="00211539"/>
    <w:rsid w:val="00224551"/>
    <w:rsid w:val="00224785"/>
    <w:rsid w:val="00226941"/>
    <w:rsid w:val="00240358"/>
    <w:rsid w:val="00243458"/>
    <w:rsid w:val="002459CF"/>
    <w:rsid w:val="00246C6A"/>
    <w:rsid w:val="002530B0"/>
    <w:rsid w:val="00257B45"/>
    <w:rsid w:val="0028098B"/>
    <w:rsid w:val="00280CFA"/>
    <w:rsid w:val="0028453B"/>
    <w:rsid w:val="00284889"/>
    <w:rsid w:val="00292E24"/>
    <w:rsid w:val="0029741E"/>
    <w:rsid w:val="002A0BD9"/>
    <w:rsid w:val="002A345D"/>
    <w:rsid w:val="002A64C6"/>
    <w:rsid w:val="002B3742"/>
    <w:rsid w:val="002C531D"/>
    <w:rsid w:val="002C7E35"/>
    <w:rsid w:val="002D5A1F"/>
    <w:rsid w:val="002E2176"/>
    <w:rsid w:val="002E2F93"/>
    <w:rsid w:val="002E6F74"/>
    <w:rsid w:val="002F38A8"/>
    <w:rsid w:val="002F5A58"/>
    <w:rsid w:val="00301E74"/>
    <w:rsid w:val="00311AB4"/>
    <w:rsid w:val="00312A09"/>
    <w:rsid w:val="00312C4B"/>
    <w:rsid w:val="00314368"/>
    <w:rsid w:val="003147F9"/>
    <w:rsid w:val="00316CA7"/>
    <w:rsid w:val="00317206"/>
    <w:rsid w:val="00325690"/>
    <w:rsid w:val="00337CE3"/>
    <w:rsid w:val="003434A8"/>
    <w:rsid w:val="00356C4F"/>
    <w:rsid w:val="003578CB"/>
    <w:rsid w:val="00371C29"/>
    <w:rsid w:val="003774E5"/>
    <w:rsid w:val="003848B4"/>
    <w:rsid w:val="00385B0B"/>
    <w:rsid w:val="00385B7D"/>
    <w:rsid w:val="00397658"/>
    <w:rsid w:val="003A1938"/>
    <w:rsid w:val="003A51DD"/>
    <w:rsid w:val="003A58F9"/>
    <w:rsid w:val="003A71E2"/>
    <w:rsid w:val="003C1E38"/>
    <w:rsid w:val="003C5C02"/>
    <w:rsid w:val="003D02BB"/>
    <w:rsid w:val="003D3780"/>
    <w:rsid w:val="003D3FCB"/>
    <w:rsid w:val="003E226D"/>
    <w:rsid w:val="003E26CD"/>
    <w:rsid w:val="003E2D5F"/>
    <w:rsid w:val="003E52CC"/>
    <w:rsid w:val="003F199D"/>
    <w:rsid w:val="00416852"/>
    <w:rsid w:val="004168A1"/>
    <w:rsid w:val="004168CF"/>
    <w:rsid w:val="00430103"/>
    <w:rsid w:val="00435402"/>
    <w:rsid w:val="00440B96"/>
    <w:rsid w:val="00441B03"/>
    <w:rsid w:val="0045020A"/>
    <w:rsid w:val="00453273"/>
    <w:rsid w:val="00460B61"/>
    <w:rsid w:val="00463997"/>
    <w:rsid w:val="0046694A"/>
    <w:rsid w:val="00474889"/>
    <w:rsid w:val="00476D62"/>
    <w:rsid w:val="00485D39"/>
    <w:rsid w:val="00490598"/>
    <w:rsid w:val="004936F5"/>
    <w:rsid w:val="004949AA"/>
    <w:rsid w:val="004A3606"/>
    <w:rsid w:val="004B791C"/>
    <w:rsid w:val="004C6990"/>
    <w:rsid w:val="004D5F56"/>
    <w:rsid w:val="004E2C6E"/>
    <w:rsid w:val="004E7A47"/>
    <w:rsid w:val="004F17AB"/>
    <w:rsid w:val="005131F8"/>
    <w:rsid w:val="00516291"/>
    <w:rsid w:val="00521D70"/>
    <w:rsid w:val="005230D5"/>
    <w:rsid w:val="005240FE"/>
    <w:rsid w:val="00531BED"/>
    <w:rsid w:val="00531D8B"/>
    <w:rsid w:val="00531FF5"/>
    <w:rsid w:val="00542477"/>
    <w:rsid w:val="00542A91"/>
    <w:rsid w:val="005432DB"/>
    <w:rsid w:val="005579F0"/>
    <w:rsid w:val="00565C77"/>
    <w:rsid w:val="00573FDC"/>
    <w:rsid w:val="00585C2C"/>
    <w:rsid w:val="00585E1E"/>
    <w:rsid w:val="00585E97"/>
    <w:rsid w:val="005A3F3D"/>
    <w:rsid w:val="005A6CC3"/>
    <w:rsid w:val="005A7457"/>
    <w:rsid w:val="005D0C18"/>
    <w:rsid w:val="005D3755"/>
    <w:rsid w:val="005D7B05"/>
    <w:rsid w:val="005E0365"/>
    <w:rsid w:val="005E6BE1"/>
    <w:rsid w:val="005E70E9"/>
    <w:rsid w:val="005F513A"/>
    <w:rsid w:val="00605509"/>
    <w:rsid w:val="006131DD"/>
    <w:rsid w:val="00617646"/>
    <w:rsid w:val="0063209E"/>
    <w:rsid w:val="0063657C"/>
    <w:rsid w:val="006412F8"/>
    <w:rsid w:val="00644409"/>
    <w:rsid w:val="00663AD7"/>
    <w:rsid w:val="00663C89"/>
    <w:rsid w:val="006667E6"/>
    <w:rsid w:val="00670157"/>
    <w:rsid w:val="00673994"/>
    <w:rsid w:val="00677400"/>
    <w:rsid w:val="00683791"/>
    <w:rsid w:val="00684221"/>
    <w:rsid w:val="00684AC9"/>
    <w:rsid w:val="00692003"/>
    <w:rsid w:val="006A40B3"/>
    <w:rsid w:val="006A682E"/>
    <w:rsid w:val="006A6E64"/>
    <w:rsid w:val="006B5292"/>
    <w:rsid w:val="006C53C7"/>
    <w:rsid w:val="006C6537"/>
    <w:rsid w:val="006C7DA3"/>
    <w:rsid w:val="006D182D"/>
    <w:rsid w:val="006E1562"/>
    <w:rsid w:val="00705B4A"/>
    <w:rsid w:val="00711C55"/>
    <w:rsid w:val="0071287E"/>
    <w:rsid w:val="00717132"/>
    <w:rsid w:val="007214DF"/>
    <w:rsid w:val="00722080"/>
    <w:rsid w:val="00723A0D"/>
    <w:rsid w:val="00723ECB"/>
    <w:rsid w:val="00725BA2"/>
    <w:rsid w:val="00726DD6"/>
    <w:rsid w:val="00731864"/>
    <w:rsid w:val="00731BC3"/>
    <w:rsid w:val="00733345"/>
    <w:rsid w:val="00742DC6"/>
    <w:rsid w:val="007434DC"/>
    <w:rsid w:val="00773E98"/>
    <w:rsid w:val="0078013D"/>
    <w:rsid w:val="0078422E"/>
    <w:rsid w:val="00792B9B"/>
    <w:rsid w:val="00793B3E"/>
    <w:rsid w:val="007974D4"/>
    <w:rsid w:val="007B042E"/>
    <w:rsid w:val="007C3C10"/>
    <w:rsid w:val="007C4DC6"/>
    <w:rsid w:val="007C56F0"/>
    <w:rsid w:val="007C6A08"/>
    <w:rsid w:val="007D32A8"/>
    <w:rsid w:val="007D4E54"/>
    <w:rsid w:val="007E1137"/>
    <w:rsid w:val="007E1A52"/>
    <w:rsid w:val="007F02E9"/>
    <w:rsid w:val="007F0C9D"/>
    <w:rsid w:val="0080175C"/>
    <w:rsid w:val="00810C79"/>
    <w:rsid w:val="008142F2"/>
    <w:rsid w:val="00815656"/>
    <w:rsid w:val="00831DB8"/>
    <w:rsid w:val="0084604F"/>
    <w:rsid w:val="0084627E"/>
    <w:rsid w:val="00854AEC"/>
    <w:rsid w:val="008616BD"/>
    <w:rsid w:val="00862B09"/>
    <w:rsid w:val="00873C94"/>
    <w:rsid w:val="00880051"/>
    <w:rsid w:val="0089241E"/>
    <w:rsid w:val="008975EF"/>
    <w:rsid w:val="008A064F"/>
    <w:rsid w:val="008A3F6C"/>
    <w:rsid w:val="008A6810"/>
    <w:rsid w:val="008B2078"/>
    <w:rsid w:val="008C000F"/>
    <w:rsid w:val="008C313D"/>
    <w:rsid w:val="008C3FC7"/>
    <w:rsid w:val="008C799F"/>
    <w:rsid w:val="008D058B"/>
    <w:rsid w:val="008D4BB1"/>
    <w:rsid w:val="008D719B"/>
    <w:rsid w:val="008F42E6"/>
    <w:rsid w:val="008F4750"/>
    <w:rsid w:val="008F4D90"/>
    <w:rsid w:val="00902CF5"/>
    <w:rsid w:val="00903472"/>
    <w:rsid w:val="0090776B"/>
    <w:rsid w:val="0091352C"/>
    <w:rsid w:val="00913B86"/>
    <w:rsid w:val="0091534A"/>
    <w:rsid w:val="009231FE"/>
    <w:rsid w:val="0092783B"/>
    <w:rsid w:val="00931ECE"/>
    <w:rsid w:val="00951DE1"/>
    <w:rsid w:val="009524E5"/>
    <w:rsid w:val="00953254"/>
    <w:rsid w:val="009649A3"/>
    <w:rsid w:val="00965FF8"/>
    <w:rsid w:val="00966FAE"/>
    <w:rsid w:val="0099275B"/>
    <w:rsid w:val="0099788F"/>
    <w:rsid w:val="009A51EF"/>
    <w:rsid w:val="009B6011"/>
    <w:rsid w:val="009B693A"/>
    <w:rsid w:val="009B6B44"/>
    <w:rsid w:val="009C08E5"/>
    <w:rsid w:val="009C1724"/>
    <w:rsid w:val="009C46BB"/>
    <w:rsid w:val="009C594D"/>
    <w:rsid w:val="009D1BDE"/>
    <w:rsid w:val="009D56B6"/>
    <w:rsid w:val="009E036A"/>
    <w:rsid w:val="009E0A43"/>
    <w:rsid w:val="009E3BC9"/>
    <w:rsid w:val="009E4E03"/>
    <w:rsid w:val="009E5764"/>
    <w:rsid w:val="009E665F"/>
    <w:rsid w:val="009E7206"/>
    <w:rsid w:val="009E7299"/>
    <w:rsid w:val="009F42E9"/>
    <w:rsid w:val="00A01947"/>
    <w:rsid w:val="00A03965"/>
    <w:rsid w:val="00A0613E"/>
    <w:rsid w:val="00A133B0"/>
    <w:rsid w:val="00A23C87"/>
    <w:rsid w:val="00A24296"/>
    <w:rsid w:val="00A249E8"/>
    <w:rsid w:val="00A2535D"/>
    <w:rsid w:val="00A40AC1"/>
    <w:rsid w:val="00A503E2"/>
    <w:rsid w:val="00A57BE6"/>
    <w:rsid w:val="00A67373"/>
    <w:rsid w:val="00A679E5"/>
    <w:rsid w:val="00A748A8"/>
    <w:rsid w:val="00A91193"/>
    <w:rsid w:val="00A924B0"/>
    <w:rsid w:val="00A92C6E"/>
    <w:rsid w:val="00A95A7A"/>
    <w:rsid w:val="00A961DB"/>
    <w:rsid w:val="00A9749C"/>
    <w:rsid w:val="00A979A5"/>
    <w:rsid w:val="00AA65DF"/>
    <w:rsid w:val="00AB58A9"/>
    <w:rsid w:val="00AB7ED4"/>
    <w:rsid w:val="00AC5420"/>
    <w:rsid w:val="00AC67E5"/>
    <w:rsid w:val="00AC699B"/>
    <w:rsid w:val="00AD1CE9"/>
    <w:rsid w:val="00AD6EAA"/>
    <w:rsid w:val="00AD7E5A"/>
    <w:rsid w:val="00AE233B"/>
    <w:rsid w:val="00AF1427"/>
    <w:rsid w:val="00AF2F8A"/>
    <w:rsid w:val="00AF301B"/>
    <w:rsid w:val="00AF79C5"/>
    <w:rsid w:val="00B00854"/>
    <w:rsid w:val="00B016F3"/>
    <w:rsid w:val="00B047A8"/>
    <w:rsid w:val="00B15CA4"/>
    <w:rsid w:val="00B23AEA"/>
    <w:rsid w:val="00B26E30"/>
    <w:rsid w:val="00B365FA"/>
    <w:rsid w:val="00B402EF"/>
    <w:rsid w:val="00B4637E"/>
    <w:rsid w:val="00B46EFA"/>
    <w:rsid w:val="00B51CE2"/>
    <w:rsid w:val="00B542E9"/>
    <w:rsid w:val="00B552CC"/>
    <w:rsid w:val="00B70722"/>
    <w:rsid w:val="00B7253F"/>
    <w:rsid w:val="00B84E73"/>
    <w:rsid w:val="00B85239"/>
    <w:rsid w:val="00B9675C"/>
    <w:rsid w:val="00BB1CF4"/>
    <w:rsid w:val="00BB5D6B"/>
    <w:rsid w:val="00BC21BF"/>
    <w:rsid w:val="00BC6DCA"/>
    <w:rsid w:val="00BC7F88"/>
    <w:rsid w:val="00BD12BD"/>
    <w:rsid w:val="00BD4605"/>
    <w:rsid w:val="00BE0BAC"/>
    <w:rsid w:val="00BE62B1"/>
    <w:rsid w:val="00BF17A6"/>
    <w:rsid w:val="00C01257"/>
    <w:rsid w:val="00C01A04"/>
    <w:rsid w:val="00C13FCB"/>
    <w:rsid w:val="00C265AB"/>
    <w:rsid w:val="00C30473"/>
    <w:rsid w:val="00C35AEB"/>
    <w:rsid w:val="00C37B12"/>
    <w:rsid w:val="00C45B92"/>
    <w:rsid w:val="00C5672A"/>
    <w:rsid w:val="00C624B3"/>
    <w:rsid w:val="00C6292B"/>
    <w:rsid w:val="00C64EF1"/>
    <w:rsid w:val="00C6592E"/>
    <w:rsid w:val="00C67BC6"/>
    <w:rsid w:val="00C71D8C"/>
    <w:rsid w:val="00C76229"/>
    <w:rsid w:val="00C81436"/>
    <w:rsid w:val="00C81495"/>
    <w:rsid w:val="00C96D94"/>
    <w:rsid w:val="00CA2D0A"/>
    <w:rsid w:val="00CA4848"/>
    <w:rsid w:val="00CB0DFC"/>
    <w:rsid w:val="00CC59A8"/>
    <w:rsid w:val="00CC5EA4"/>
    <w:rsid w:val="00CC67C5"/>
    <w:rsid w:val="00CE7FD2"/>
    <w:rsid w:val="00CF49B7"/>
    <w:rsid w:val="00CF5A8B"/>
    <w:rsid w:val="00D02184"/>
    <w:rsid w:val="00D041BA"/>
    <w:rsid w:val="00D048FA"/>
    <w:rsid w:val="00D17DFB"/>
    <w:rsid w:val="00D25CFC"/>
    <w:rsid w:val="00D32ACC"/>
    <w:rsid w:val="00D32ADE"/>
    <w:rsid w:val="00D34A62"/>
    <w:rsid w:val="00D40699"/>
    <w:rsid w:val="00D40BF0"/>
    <w:rsid w:val="00D47108"/>
    <w:rsid w:val="00D47DC0"/>
    <w:rsid w:val="00D513C0"/>
    <w:rsid w:val="00D516A2"/>
    <w:rsid w:val="00D5244B"/>
    <w:rsid w:val="00D57D11"/>
    <w:rsid w:val="00D7785B"/>
    <w:rsid w:val="00D8333A"/>
    <w:rsid w:val="00D90E10"/>
    <w:rsid w:val="00D960AC"/>
    <w:rsid w:val="00DA2EF6"/>
    <w:rsid w:val="00DB1E29"/>
    <w:rsid w:val="00DB49DD"/>
    <w:rsid w:val="00DC05B8"/>
    <w:rsid w:val="00DC1B02"/>
    <w:rsid w:val="00DD1780"/>
    <w:rsid w:val="00DD7899"/>
    <w:rsid w:val="00DE013F"/>
    <w:rsid w:val="00DF4C32"/>
    <w:rsid w:val="00DF6BA5"/>
    <w:rsid w:val="00E00D4E"/>
    <w:rsid w:val="00E038E4"/>
    <w:rsid w:val="00E03F64"/>
    <w:rsid w:val="00E07D65"/>
    <w:rsid w:val="00E111A1"/>
    <w:rsid w:val="00E14F26"/>
    <w:rsid w:val="00E1635B"/>
    <w:rsid w:val="00E27E46"/>
    <w:rsid w:val="00E3044B"/>
    <w:rsid w:val="00E37079"/>
    <w:rsid w:val="00E37957"/>
    <w:rsid w:val="00E4395A"/>
    <w:rsid w:val="00E51A37"/>
    <w:rsid w:val="00E52F69"/>
    <w:rsid w:val="00E57560"/>
    <w:rsid w:val="00E649B9"/>
    <w:rsid w:val="00E750C5"/>
    <w:rsid w:val="00E75E58"/>
    <w:rsid w:val="00E76621"/>
    <w:rsid w:val="00E84D79"/>
    <w:rsid w:val="00E927A0"/>
    <w:rsid w:val="00E94996"/>
    <w:rsid w:val="00E9532F"/>
    <w:rsid w:val="00E9683F"/>
    <w:rsid w:val="00E97650"/>
    <w:rsid w:val="00EA2F66"/>
    <w:rsid w:val="00EC1B57"/>
    <w:rsid w:val="00EC66FF"/>
    <w:rsid w:val="00ED1818"/>
    <w:rsid w:val="00ED588F"/>
    <w:rsid w:val="00ED642A"/>
    <w:rsid w:val="00EE2C8A"/>
    <w:rsid w:val="00F01F33"/>
    <w:rsid w:val="00F02EE1"/>
    <w:rsid w:val="00F11468"/>
    <w:rsid w:val="00F161C3"/>
    <w:rsid w:val="00F20078"/>
    <w:rsid w:val="00F21AF7"/>
    <w:rsid w:val="00F23EA2"/>
    <w:rsid w:val="00F24058"/>
    <w:rsid w:val="00F260E5"/>
    <w:rsid w:val="00F268F9"/>
    <w:rsid w:val="00F269FE"/>
    <w:rsid w:val="00F329F7"/>
    <w:rsid w:val="00F365B4"/>
    <w:rsid w:val="00F46AAA"/>
    <w:rsid w:val="00F51099"/>
    <w:rsid w:val="00F656EF"/>
    <w:rsid w:val="00F6684B"/>
    <w:rsid w:val="00F81034"/>
    <w:rsid w:val="00F830E2"/>
    <w:rsid w:val="00F83D01"/>
    <w:rsid w:val="00F94B92"/>
    <w:rsid w:val="00FA2748"/>
    <w:rsid w:val="00FA4A9B"/>
    <w:rsid w:val="00FA55D5"/>
    <w:rsid w:val="00FA65A9"/>
    <w:rsid w:val="00FB31E3"/>
    <w:rsid w:val="00FC0B4F"/>
    <w:rsid w:val="00FC1E12"/>
    <w:rsid w:val="00FC38BF"/>
    <w:rsid w:val="00FD5F13"/>
    <w:rsid w:val="00FE2C7F"/>
    <w:rsid w:val="00FE391D"/>
    <w:rsid w:val="00FE57CA"/>
    <w:rsid w:val="00FF3C96"/>
    <w:rsid w:val="00FF7D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960AF7"/>
  <w15:docId w15:val="{349EFE3C-AED2-4F19-8311-E6C2A16C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6D"/>
    <w:pPr>
      <w:spacing w:after="160" w:line="259" w:lineRule="auto"/>
    </w:pPr>
  </w:style>
  <w:style w:type="paragraph" w:styleId="Heading1">
    <w:name w:val="heading 1"/>
    <w:basedOn w:val="Normal"/>
    <w:next w:val="Normal"/>
    <w:link w:val="Heading1Char"/>
    <w:uiPriority w:val="9"/>
    <w:qFormat/>
    <w:locked/>
    <w:rsid w:val="008C313D"/>
    <w:pPr>
      <w:keepNext/>
      <w:spacing w:after="0" w:line="240" w:lineRule="auto"/>
      <w:jc w:val="center"/>
      <w:outlineLvl w:val="0"/>
    </w:pPr>
    <w:rPr>
      <w:rFonts w:ascii="Times New Roman" w:eastAsia="Times New Roman" w:hAnsi="Times New Roman"/>
      <w:b/>
      <w:bCs/>
      <w:sz w:val="28"/>
      <w:szCs w:val="28"/>
    </w:rPr>
  </w:style>
  <w:style w:type="paragraph" w:styleId="Heading2">
    <w:name w:val="heading 2"/>
    <w:basedOn w:val="Normal"/>
    <w:next w:val="Normal"/>
    <w:link w:val="Heading2Char"/>
    <w:uiPriority w:val="9"/>
    <w:qFormat/>
    <w:locked/>
    <w:rsid w:val="008C313D"/>
    <w:pPr>
      <w:keepNext/>
      <w:spacing w:after="0" w:line="240" w:lineRule="auto"/>
      <w:jc w:val="center"/>
      <w:outlineLvl w:val="1"/>
    </w:pPr>
    <w:rPr>
      <w:rFonts w:ascii="Times New Roman" w:eastAsia="Times New Roman" w:hAnsi="Times New Roman"/>
      <w:b/>
      <w:bCs/>
      <w:sz w:val="26"/>
      <w:szCs w:val="26"/>
    </w:rPr>
  </w:style>
  <w:style w:type="paragraph" w:styleId="Heading3">
    <w:name w:val="heading 3"/>
    <w:basedOn w:val="Normal"/>
    <w:next w:val="Normal"/>
    <w:link w:val="Heading3Char"/>
    <w:uiPriority w:val="9"/>
    <w:qFormat/>
    <w:locked/>
    <w:rsid w:val="008C313D"/>
    <w:pPr>
      <w:keepNext/>
      <w:spacing w:after="0" w:line="240" w:lineRule="auto"/>
      <w:jc w:val="center"/>
      <w:outlineLvl w:val="2"/>
    </w:pPr>
    <w:rPr>
      <w:rFonts w:ascii="Times New Roman" w:eastAsia="Times New Roman" w:hAnsi="Times New Roman"/>
      <w:i/>
      <w:iCs/>
      <w:noProof/>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0B0"/>
    <w:pPr>
      <w:ind w:left="720"/>
      <w:contextualSpacing/>
    </w:pPr>
  </w:style>
  <w:style w:type="paragraph" w:styleId="BalloonText">
    <w:name w:val="Balloon Text"/>
    <w:basedOn w:val="Normal"/>
    <w:link w:val="BalloonTextChar"/>
    <w:uiPriority w:val="99"/>
    <w:semiHidden/>
    <w:rsid w:val="00385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85B0B"/>
    <w:rPr>
      <w:rFonts w:ascii="Segoe UI" w:hAnsi="Segoe UI" w:cs="Segoe UI"/>
      <w:sz w:val="18"/>
      <w:szCs w:val="18"/>
    </w:rPr>
  </w:style>
  <w:style w:type="table" w:styleId="TableGrid">
    <w:name w:val="Table Grid"/>
    <w:basedOn w:val="TableNormal"/>
    <w:uiPriority w:val="59"/>
    <w:locked/>
    <w:rsid w:val="00521D7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C313D"/>
    <w:rPr>
      <w:rFonts w:ascii="Times New Roman" w:eastAsia="Times New Roman" w:hAnsi="Times New Roman"/>
      <w:b/>
      <w:bCs/>
      <w:sz w:val="28"/>
      <w:szCs w:val="28"/>
    </w:rPr>
  </w:style>
  <w:style w:type="character" w:customStyle="1" w:styleId="Heading2Char">
    <w:name w:val="Heading 2 Char"/>
    <w:basedOn w:val="DefaultParagraphFont"/>
    <w:link w:val="Heading2"/>
    <w:uiPriority w:val="9"/>
    <w:rsid w:val="008C313D"/>
    <w:rPr>
      <w:rFonts w:ascii="Times New Roman" w:eastAsia="Times New Roman" w:hAnsi="Times New Roman"/>
      <w:b/>
      <w:bCs/>
      <w:sz w:val="26"/>
      <w:szCs w:val="26"/>
    </w:rPr>
  </w:style>
  <w:style w:type="character" w:customStyle="1" w:styleId="Heading3Char">
    <w:name w:val="Heading 3 Char"/>
    <w:basedOn w:val="DefaultParagraphFont"/>
    <w:link w:val="Heading3"/>
    <w:uiPriority w:val="9"/>
    <w:rsid w:val="008C313D"/>
    <w:rPr>
      <w:rFonts w:ascii="Times New Roman" w:eastAsia="Times New Roman" w:hAnsi="Times New Roman"/>
      <w:i/>
      <w:iCs/>
      <w:noProof/>
      <w:sz w:val="28"/>
      <w:szCs w:val="24"/>
    </w:rPr>
  </w:style>
  <w:style w:type="paragraph" w:styleId="BodyText">
    <w:name w:val="Body Text"/>
    <w:basedOn w:val="Normal"/>
    <w:link w:val="BodyTextChar"/>
    <w:rsid w:val="00485D39"/>
    <w:pPr>
      <w:spacing w:after="0" w:line="24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rsid w:val="00485D39"/>
    <w:rPr>
      <w:rFonts w:ascii="Times New Roman" w:eastAsia="Times New Roman" w:hAnsi="Times New Roman"/>
      <w:sz w:val="28"/>
      <w:szCs w:val="24"/>
    </w:rPr>
  </w:style>
  <w:style w:type="paragraph" w:styleId="Header">
    <w:name w:val="header"/>
    <w:basedOn w:val="Normal"/>
    <w:link w:val="HeaderChar"/>
    <w:uiPriority w:val="99"/>
    <w:unhideWhenUsed/>
    <w:rsid w:val="009E3B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C9"/>
  </w:style>
  <w:style w:type="paragraph" w:styleId="Footer">
    <w:name w:val="footer"/>
    <w:basedOn w:val="Normal"/>
    <w:link w:val="FooterChar"/>
    <w:uiPriority w:val="99"/>
    <w:unhideWhenUsed/>
    <w:rsid w:val="009E3B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C9"/>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qFormat/>
    <w:rsid w:val="007D32A8"/>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7D32A8"/>
    <w:rPr>
      <w:rFonts w:ascii="Times New Roman" w:eastAsia="Times New Roman" w:hAnsi="Times New Roman"/>
      <w:sz w:val="24"/>
      <w:szCs w:val="24"/>
    </w:rPr>
  </w:style>
  <w:style w:type="character" w:styleId="Strong">
    <w:name w:val="Strong"/>
    <w:basedOn w:val="DefaultParagraphFont"/>
    <w:uiPriority w:val="22"/>
    <w:qFormat/>
    <w:locked/>
    <w:rsid w:val="007D32A8"/>
    <w:rPr>
      <w:b/>
      <w:bCs/>
    </w:rPr>
  </w:style>
  <w:style w:type="paragraph" w:styleId="List2">
    <w:name w:val="List 2"/>
    <w:basedOn w:val="Normal"/>
    <w:unhideWhenUsed/>
    <w:rsid w:val="007D32A8"/>
    <w:pPr>
      <w:spacing w:after="0" w:line="240" w:lineRule="auto"/>
      <w:ind w:left="720" w:hanging="360"/>
      <w:contextualSpacing/>
    </w:pPr>
    <w:rPr>
      <w:rFonts w:ascii="Times New Roman" w:eastAsia="Times New Roman" w:hAnsi="Times New Roman"/>
      <w:sz w:val="24"/>
      <w:szCs w:val="24"/>
    </w:rPr>
  </w:style>
  <w:style w:type="paragraph" w:customStyle="1" w:styleId="xmsonormal">
    <w:name w:val="x_msonormal"/>
    <w:basedOn w:val="Normal"/>
    <w:rsid w:val="007D32A8"/>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7D32A8"/>
  </w:style>
  <w:style w:type="character" w:styleId="Hyperlink">
    <w:name w:val="Hyperlink"/>
    <w:basedOn w:val="DefaultParagraphFont"/>
    <w:uiPriority w:val="99"/>
    <w:unhideWhenUsed/>
    <w:rsid w:val="007D32A8"/>
    <w:rPr>
      <w:color w:val="0000FF"/>
      <w:u w:val="single"/>
    </w:rPr>
  </w:style>
  <w:style w:type="paragraph" w:styleId="DocumentMap">
    <w:name w:val="Document Map"/>
    <w:basedOn w:val="Normal"/>
    <w:link w:val="DocumentMapChar"/>
    <w:uiPriority w:val="99"/>
    <w:semiHidden/>
    <w:unhideWhenUsed/>
    <w:rsid w:val="007D32A8"/>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7D32A8"/>
    <w:rPr>
      <w:rFonts w:ascii="Tahoma" w:eastAsia="Times New Roman" w:hAnsi="Tahoma" w:cs="Tahoma"/>
      <w:sz w:val="16"/>
      <w:szCs w:val="16"/>
    </w:rPr>
  </w:style>
  <w:style w:type="character" w:customStyle="1" w:styleId="UnresolvedMention1">
    <w:name w:val="Unresolved Mention1"/>
    <w:basedOn w:val="DefaultParagraphFont"/>
    <w:uiPriority w:val="99"/>
    <w:semiHidden/>
    <w:unhideWhenUsed/>
    <w:rsid w:val="007D32A8"/>
    <w:rPr>
      <w:color w:val="605E5C"/>
      <w:shd w:val="clear" w:color="auto" w:fill="E1DFDD"/>
    </w:rPr>
  </w:style>
  <w:style w:type="character" w:styleId="PageNumber">
    <w:name w:val="page number"/>
    <w:basedOn w:val="DefaultParagraphFont"/>
    <w:uiPriority w:val="99"/>
    <w:semiHidden/>
    <w:unhideWhenUsed/>
    <w:rsid w:val="007D32A8"/>
  </w:style>
  <w:style w:type="character" w:customStyle="1" w:styleId="fontstyle01">
    <w:name w:val="fontstyle01"/>
    <w:rsid w:val="002A64C6"/>
    <w:rPr>
      <w:rFonts w:ascii="Times New Roman" w:hAnsi="Times New Roman" w:cs="Times New Roman" w:hint="default"/>
      <w:b w:val="0"/>
      <w:bCs w:val="0"/>
      <w:i w:val="0"/>
      <w:iCs w:val="0"/>
      <w:color w:val="000000"/>
      <w:sz w:val="28"/>
      <w:szCs w:val="28"/>
    </w:rPr>
  </w:style>
  <w:style w:type="character" w:customStyle="1" w:styleId="fontstyle21">
    <w:name w:val="fontstyle21"/>
    <w:rsid w:val="002A64C6"/>
    <w:rPr>
      <w:rFonts w:ascii="TimesNewRomanPSMT" w:hAnsi="TimesNewRomanPSMT" w:hint="default"/>
      <w:b w:val="0"/>
      <w:bCs w:val="0"/>
      <w:i w:val="0"/>
      <w:iCs w:val="0"/>
      <w:color w:val="000000"/>
      <w:sz w:val="28"/>
      <w:szCs w:val="28"/>
    </w:rPr>
  </w:style>
  <w:style w:type="paragraph" w:customStyle="1" w:styleId="TableParagraph">
    <w:name w:val="Table Paragraph"/>
    <w:basedOn w:val="Normal"/>
    <w:uiPriority w:val="1"/>
    <w:qFormat/>
    <w:rsid w:val="00A03965"/>
    <w:pPr>
      <w:widowControl w:val="0"/>
      <w:autoSpaceDE w:val="0"/>
      <w:autoSpaceDN w:val="0"/>
      <w:spacing w:after="0" w:line="240" w:lineRule="auto"/>
      <w:ind w:left="108"/>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8639">
      <w:marLeft w:val="0"/>
      <w:marRight w:val="0"/>
      <w:marTop w:val="0"/>
      <w:marBottom w:val="0"/>
      <w:divBdr>
        <w:top w:val="none" w:sz="0" w:space="0" w:color="auto"/>
        <w:left w:val="none" w:sz="0" w:space="0" w:color="auto"/>
        <w:bottom w:val="none" w:sz="0" w:space="0" w:color="auto"/>
        <w:right w:val="none" w:sz="0" w:space="0" w:color="auto"/>
      </w:divBdr>
    </w:div>
    <w:div w:id="63768640">
      <w:marLeft w:val="0"/>
      <w:marRight w:val="0"/>
      <w:marTop w:val="0"/>
      <w:marBottom w:val="0"/>
      <w:divBdr>
        <w:top w:val="none" w:sz="0" w:space="0" w:color="auto"/>
        <w:left w:val="none" w:sz="0" w:space="0" w:color="auto"/>
        <w:bottom w:val="none" w:sz="0" w:space="0" w:color="auto"/>
        <w:right w:val="none" w:sz="0" w:space="0" w:color="auto"/>
      </w:divBdr>
    </w:div>
    <w:div w:id="63768641">
      <w:marLeft w:val="0"/>
      <w:marRight w:val="0"/>
      <w:marTop w:val="0"/>
      <w:marBottom w:val="0"/>
      <w:divBdr>
        <w:top w:val="none" w:sz="0" w:space="0" w:color="auto"/>
        <w:left w:val="none" w:sz="0" w:space="0" w:color="auto"/>
        <w:bottom w:val="none" w:sz="0" w:space="0" w:color="auto"/>
        <w:right w:val="none" w:sz="0" w:space="0" w:color="auto"/>
      </w:divBdr>
    </w:div>
    <w:div w:id="63768642">
      <w:marLeft w:val="0"/>
      <w:marRight w:val="0"/>
      <w:marTop w:val="0"/>
      <w:marBottom w:val="0"/>
      <w:divBdr>
        <w:top w:val="none" w:sz="0" w:space="0" w:color="auto"/>
        <w:left w:val="none" w:sz="0" w:space="0" w:color="auto"/>
        <w:bottom w:val="none" w:sz="0" w:space="0" w:color="auto"/>
        <w:right w:val="none" w:sz="0" w:space="0" w:color="auto"/>
      </w:divBdr>
    </w:div>
    <w:div w:id="63768643">
      <w:marLeft w:val="0"/>
      <w:marRight w:val="0"/>
      <w:marTop w:val="0"/>
      <w:marBottom w:val="0"/>
      <w:divBdr>
        <w:top w:val="none" w:sz="0" w:space="0" w:color="auto"/>
        <w:left w:val="none" w:sz="0" w:space="0" w:color="auto"/>
        <w:bottom w:val="none" w:sz="0" w:space="0" w:color="auto"/>
        <w:right w:val="none" w:sz="0" w:space="0" w:color="auto"/>
      </w:divBdr>
    </w:div>
    <w:div w:id="63768644">
      <w:marLeft w:val="0"/>
      <w:marRight w:val="0"/>
      <w:marTop w:val="0"/>
      <w:marBottom w:val="0"/>
      <w:divBdr>
        <w:top w:val="none" w:sz="0" w:space="0" w:color="auto"/>
        <w:left w:val="none" w:sz="0" w:space="0" w:color="auto"/>
        <w:bottom w:val="none" w:sz="0" w:space="0" w:color="auto"/>
        <w:right w:val="none" w:sz="0" w:space="0" w:color="auto"/>
      </w:divBdr>
    </w:div>
    <w:div w:id="63768645">
      <w:marLeft w:val="0"/>
      <w:marRight w:val="0"/>
      <w:marTop w:val="0"/>
      <w:marBottom w:val="0"/>
      <w:divBdr>
        <w:top w:val="none" w:sz="0" w:space="0" w:color="auto"/>
        <w:left w:val="none" w:sz="0" w:space="0" w:color="auto"/>
        <w:bottom w:val="none" w:sz="0" w:space="0" w:color="auto"/>
        <w:right w:val="none" w:sz="0" w:space="0" w:color="auto"/>
      </w:divBdr>
    </w:div>
    <w:div w:id="63768646">
      <w:marLeft w:val="0"/>
      <w:marRight w:val="0"/>
      <w:marTop w:val="0"/>
      <w:marBottom w:val="0"/>
      <w:divBdr>
        <w:top w:val="none" w:sz="0" w:space="0" w:color="auto"/>
        <w:left w:val="none" w:sz="0" w:space="0" w:color="auto"/>
        <w:bottom w:val="none" w:sz="0" w:space="0" w:color="auto"/>
        <w:right w:val="none" w:sz="0" w:space="0" w:color="auto"/>
      </w:divBdr>
    </w:div>
    <w:div w:id="845900293">
      <w:bodyDiv w:val="1"/>
      <w:marLeft w:val="0"/>
      <w:marRight w:val="0"/>
      <w:marTop w:val="0"/>
      <w:marBottom w:val="0"/>
      <w:divBdr>
        <w:top w:val="none" w:sz="0" w:space="0" w:color="auto"/>
        <w:left w:val="none" w:sz="0" w:space="0" w:color="auto"/>
        <w:bottom w:val="none" w:sz="0" w:space="0" w:color="auto"/>
        <w:right w:val="none" w:sz="0" w:space="0" w:color="auto"/>
      </w:divBdr>
    </w:div>
    <w:div w:id="1316447083">
      <w:bodyDiv w:val="1"/>
      <w:marLeft w:val="0"/>
      <w:marRight w:val="0"/>
      <w:marTop w:val="0"/>
      <w:marBottom w:val="0"/>
      <w:divBdr>
        <w:top w:val="none" w:sz="0" w:space="0" w:color="auto"/>
        <w:left w:val="none" w:sz="0" w:space="0" w:color="auto"/>
        <w:bottom w:val="none" w:sz="0" w:space="0" w:color="auto"/>
        <w:right w:val="none" w:sz="0" w:space="0" w:color="auto"/>
      </w:divBdr>
    </w:div>
    <w:div w:id="1871992654">
      <w:bodyDiv w:val="1"/>
      <w:marLeft w:val="0"/>
      <w:marRight w:val="0"/>
      <w:marTop w:val="0"/>
      <w:marBottom w:val="0"/>
      <w:divBdr>
        <w:top w:val="none" w:sz="0" w:space="0" w:color="auto"/>
        <w:left w:val="none" w:sz="0" w:space="0" w:color="auto"/>
        <w:bottom w:val="none" w:sz="0" w:space="0" w:color="auto"/>
        <w:right w:val="none" w:sz="0" w:space="0" w:color="auto"/>
      </w:divBdr>
    </w:div>
    <w:div w:id="209532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BBF8A-2419-4266-B25F-5F6C5286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6236</Words>
  <Characters>35550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Huynh Ngoc Le Dung</dc:creator>
  <cp:lastModifiedBy>HP</cp:lastModifiedBy>
  <cp:revision>36</cp:revision>
  <cp:lastPrinted>2025-11-14T07:47:00Z</cp:lastPrinted>
  <dcterms:created xsi:type="dcterms:W3CDTF">2026-04-15T09:04:00Z</dcterms:created>
  <dcterms:modified xsi:type="dcterms:W3CDTF">2026-07-27T02:20:00Z</dcterms:modified>
</cp:coreProperties>
</file>