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51" w:type="pct"/>
        <w:tblInd w:w="-567" w:type="dxa"/>
        <w:tblCellMar>
          <w:left w:w="0" w:type="dxa"/>
          <w:right w:w="0" w:type="dxa"/>
        </w:tblCellMar>
        <w:tblLook w:val="0000" w:firstRow="0" w:lastRow="0" w:firstColumn="0" w:lastColumn="0" w:noHBand="0" w:noVBand="0"/>
      </w:tblPr>
      <w:tblGrid>
        <w:gridCol w:w="4944"/>
        <w:gridCol w:w="5491"/>
      </w:tblGrid>
      <w:tr w:rsidR="00943DA8" w:rsidRPr="002954FC" w14:paraId="74F47F9D" w14:textId="77777777" w:rsidTr="00CF0FE3">
        <w:tc>
          <w:tcPr>
            <w:tcW w:w="2369" w:type="pct"/>
            <w:shd w:val="clear" w:color="000000" w:fill="FFFFFF"/>
          </w:tcPr>
          <w:p w14:paraId="7A9B2DDA" w14:textId="77777777" w:rsidR="00943DA8" w:rsidRPr="00655AA5" w:rsidRDefault="00943DA8" w:rsidP="00CF0FE3">
            <w:pPr>
              <w:autoSpaceDE w:val="0"/>
              <w:autoSpaceDN w:val="0"/>
              <w:adjustRightInd w:val="0"/>
              <w:jc w:val="center"/>
              <w:rPr>
                <w:bCs/>
                <w:sz w:val="26"/>
                <w:szCs w:val="26"/>
                <w:lang w:val="en"/>
              </w:rPr>
            </w:pPr>
            <w:r w:rsidRPr="00655AA5">
              <w:rPr>
                <w:bCs/>
                <w:sz w:val="26"/>
                <w:szCs w:val="26"/>
                <w:lang w:val="en"/>
              </w:rPr>
              <w:t>UBND TỈNH TUYÊN QUANG</w:t>
            </w:r>
          </w:p>
          <w:p w14:paraId="2E3AF770" w14:textId="77777777" w:rsidR="00943DA8" w:rsidRPr="002954FC" w:rsidRDefault="00000000" w:rsidP="00CF0FE3">
            <w:pPr>
              <w:autoSpaceDE w:val="0"/>
              <w:autoSpaceDN w:val="0"/>
              <w:adjustRightInd w:val="0"/>
              <w:jc w:val="center"/>
              <w:rPr>
                <w:sz w:val="26"/>
                <w:szCs w:val="26"/>
                <w:lang w:val="en"/>
              </w:rPr>
            </w:pPr>
            <w:r>
              <w:rPr>
                <w:b/>
                <w:bCs/>
                <w:noProof/>
                <w:sz w:val="26"/>
                <w:szCs w:val="26"/>
              </w:rPr>
              <w:pict w14:anchorId="69143CD9">
                <v:shapetype id="_x0000_t32" coordsize="21600,21600" o:spt="32" o:oned="t" path="m,l21600,21600e" filled="f">
                  <v:path arrowok="t" fillok="f" o:connecttype="none"/>
                  <o:lock v:ext="edit" shapetype="t"/>
                </v:shapetype>
                <v:shape id="_x0000_s1037" type="#_x0000_t32" style="position:absolute;left:0;text-align:left;margin-left:96.4pt;margin-top:16.05pt;width:51.85pt;height:0;z-index:2" o:connectortype="straight"/>
              </w:pict>
            </w:r>
            <w:r w:rsidR="00943DA8">
              <w:rPr>
                <w:b/>
                <w:bCs/>
                <w:sz w:val="26"/>
                <w:szCs w:val="26"/>
                <w:lang w:val="en"/>
              </w:rPr>
              <w:t>SỞ NÔNG NGHIỆP VÀ MÔI TRƯỜNG</w:t>
            </w:r>
          </w:p>
        </w:tc>
        <w:tc>
          <w:tcPr>
            <w:tcW w:w="2631" w:type="pct"/>
            <w:shd w:val="clear" w:color="000000" w:fill="FFFFFF"/>
          </w:tcPr>
          <w:p w14:paraId="27334540" w14:textId="77777777" w:rsidR="00943DA8" w:rsidRPr="002954FC" w:rsidRDefault="00000000" w:rsidP="00CF0FE3">
            <w:pPr>
              <w:autoSpaceDE w:val="0"/>
              <w:autoSpaceDN w:val="0"/>
              <w:adjustRightInd w:val="0"/>
              <w:jc w:val="center"/>
              <w:rPr>
                <w:sz w:val="26"/>
                <w:szCs w:val="26"/>
                <w:lang w:val="en"/>
              </w:rPr>
            </w:pPr>
            <w:r>
              <w:rPr>
                <w:b/>
                <w:bCs/>
                <w:noProof/>
                <w:sz w:val="26"/>
                <w:szCs w:val="26"/>
              </w:rPr>
              <w:pict w14:anchorId="486F4EA3">
                <v:shape id="_x0000_s1038" type="#_x0000_t32" style="position:absolute;left:0;text-align:left;margin-left:64.05pt;margin-top:31pt;width:150pt;height:0;z-index:3;mso-position-horizontal-relative:text;mso-position-vertical-relative:text" o:connectortype="straight"/>
              </w:pict>
            </w:r>
            <w:r w:rsidR="00943DA8" w:rsidRPr="002954FC">
              <w:rPr>
                <w:b/>
                <w:bCs/>
                <w:sz w:val="26"/>
                <w:szCs w:val="26"/>
                <w:lang w:val="en"/>
              </w:rPr>
              <w:t>C</w:t>
            </w:r>
            <w:r w:rsidR="00943DA8" w:rsidRPr="002954FC">
              <w:rPr>
                <w:b/>
                <w:bCs/>
                <w:sz w:val="26"/>
                <w:szCs w:val="26"/>
              </w:rPr>
              <w:t>ỘNG HÒA XÃ HỘI CHỦ NGHĨA VIỆT NAM</w:t>
            </w:r>
            <w:r w:rsidR="00943DA8" w:rsidRPr="002954FC">
              <w:rPr>
                <w:b/>
                <w:bCs/>
                <w:sz w:val="26"/>
                <w:szCs w:val="26"/>
              </w:rPr>
              <w:br/>
              <w:t xml:space="preserve">Độc lập - Tự do - Hạnh phúc </w:t>
            </w:r>
            <w:r w:rsidR="00943DA8" w:rsidRPr="002954FC">
              <w:rPr>
                <w:b/>
                <w:bCs/>
                <w:sz w:val="26"/>
                <w:szCs w:val="26"/>
              </w:rPr>
              <w:br/>
            </w:r>
          </w:p>
        </w:tc>
      </w:tr>
      <w:tr w:rsidR="00943DA8" w:rsidRPr="002954FC" w14:paraId="04B7473C" w14:textId="77777777" w:rsidTr="00CF0FE3">
        <w:tc>
          <w:tcPr>
            <w:tcW w:w="2369" w:type="pct"/>
            <w:shd w:val="clear" w:color="000000" w:fill="FFFFFF"/>
          </w:tcPr>
          <w:p w14:paraId="3CFE50C5" w14:textId="77777777" w:rsidR="00943DA8" w:rsidRDefault="00943DA8" w:rsidP="00CF0FE3">
            <w:pPr>
              <w:autoSpaceDE w:val="0"/>
              <w:autoSpaceDN w:val="0"/>
              <w:adjustRightInd w:val="0"/>
              <w:jc w:val="center"/>
            </w:pPr>
            <w:r w:rsidRPr="00A946D9">
              <w:rPr>
                <w:lang w:val="en"/>
              </w:rPr>
              <w:t>S</w:t>
            </w:r>
            <w:r w:rsidR="00BD6241" w:rsidRPr="00A946D9">
              <w:t xml:space="preserve">ố:    </w:t>
            </w:r>
            <w:r w:rsidR="009F0BA2">
              <w:t xml:space="preserve">  </w:t>
            </w:r>
            <w:r w:rsidR="00BD6241" w:rsidRPr="00A946D9">
              <w:t xml:space="preserve">   </w:t>
            </w:r>
            <w:r w:rsidRPr="00A946D9">
              <w:t>/TTr-SNNMT</w:t>
            </w:r>
          </w:p>
          <w:p w14:paraId="62D0A24B" w14:textId="76A36BB8" w:rsidR="00DA621F" w:rsidRPr="00A946D9" w:rsidRDefault="00DA621F" w:rsidP="00DA621F">
            <w:pPr>
              <w:autoSpaceDE w:val="0"/>
              <w:autoSpaceDN w:val="0"/>
              <w:adjustRightInd w:val="0"/>
              <w:jc w:val="center"/>
              <w:rPr>
                <w:b/>
                <w:bCs/>
              </w:rPr>
            </w:pPr>
            <w:r>
              <w:t>(Dự thảo)</w:t>
            </w:r>
          </w:p>
        </w:tc>
        <w:tc>
          <w:tcPr>
            <w:tcW w:w="2631" w:type="pct"/>
            <w:shd w:val="clear" w:color="000000" w:fill="FFFFFF"/>
          </w:tcPr>
          <w:p w14:paraId="78EF059D" w14:textId="77777777" w:rsidR="00943DA8" w:rsidRPr="00A946D9" w:rsidRDefault="00943DA8" w:rsidP="00CF0FE3">
            <w:pPr>
              <w:autoSpaceDE w:val="0"/>
              <w:autoSpaceDN w:val="0"/>
              <w:adjustRightInd w:val="0"/>
              <w:jc w:val="center"/>
              <w:rPr>
                <w:b/>
                <w:bCs/>
                <w:lang w:val="en"/>
              </w:rPr>
            </w:pPr>
            <w:r w:rsidRPr="00A946D9">
              <w:rPr>
                <w:i/>
                <w:iCs/>
                <w:lang w:val="en"/>
              </w:rPr>
              <w:t xml:space="preserve">Tuyên Quang, ngày  </w:t>
            </w:r>
            <w:r w:rsidR="009F0BA2">
              <w:rPr>
                <w:i/>
                <w:iCs/>
                <w:lang w:val="en"/>
              </w:rPr>
              <w:t xml:space="preserve"> </w:t>
            </w:r>
            <w:r w:rsidRPr="00A946D9">
              <w:rPr>
                <w:i/>
                <w:iCs/>
                <w:lang w:val="en"/>
              </w:rPr>
              <w:t xml:space="preserve">   tháng 5 năm 2026</w:t>
            </w:r>
          </w:p>
        </w:tc>
      </w:tr>
    </w:tbl>
    <w:p w14:paraId="2400F897" w14:textId="77777777" w:rsidR="004C4693" w:rsidRPr="004C4693" w:rsidRDefault="004C4693" w:rsidP="0002438F">
      <w:pPr>
        <w:tabs>
          <w:tab w:val="left" w:pos="600"/>
          <w:tab w:val="center" w:pos="4536"/>
        </w:tabs>
        <w:jc w:val="center"/>
        <w:rPr>
          <w:b/>
          <w:sz w:val="20"/>
          <w:szCs w:val="20"/>
        </w:rPr>
      </w:pPr>
    </w:p>
    <w:p w14:paraId="544D7EC3" w14:textId="77777777" w:rsidR="00B23CB7" w:rsidRPr="00C85647" w:rsidRDefault="00512D25" w:rsidP="0002438F">
      <w:pPr>
        <w:tabs>
          <w:tab w:val="left" w:pos="600"/>
          <w:tab w:val="center" w:pos="4536"/>
        </w:tabs>
        <w:jc w:val="center"/>
        <w:rPr>
          <w:b/>
        </w:rPr>
      </w:pPr>
      <w:r w:rsidRPr="00C85647">
        <w:rPr>
          <w:b/>
        </w:rPr>
        <w:t>T</w:t>
      </w:r>
      <w:r w:rsidR="007369E3" w:rsidRPr="00C85647">
        <w:rPr>
          <w:b/>
        </w:rPr>
        <w:t>Ờ TRÌNH</w:t>
      </w:r>
    </w:p>
    <w:p w14:paraId="3D5AA8A3" w14:textId="3401A074" w:rsidR="00C55582" w:rsidRDefault="00EF7890" w:rsidP="00034BE0">
      <w:pPr>
        <w:jc w:val="center"/>
        <w:rPr>
          <w:b/>
        </w:rPr>
      </w:pPr>
      <w:r w:rsidRPr="00EF7890">
        <w:rPr>
          <w:b/>
        </w:rPr>
        <w:t xml:space="preserve">Về việc ban hành Quyết định </w:t>
      </w:r>
      <w:r w:rsidR="000521EC">
        <w:rPr>
          <w:b/>
        </w:rPr>
        <w:t xml:space="preserve">của </w:t>
      </w:r>
      <w:r w:rsidR="00034BE0" w:rsidRPr="00034BE0">
        <w:rPr>
          <w:b/>
        </w:rPr>
        <w:t xml:space="preserve">Chủ tịch </w:t>
      </w:r>
      <w:r w:rsidR="00C55582">
        <w:rPr>
          <w:b/>
        </w:rPr>
        <w:t>Ủy ban nhân dân</w:t>
      </w:r>
      <w:r w:rsidR="00034BE0" w:rsidRPr="00034BE0">
        <w:rPr>
          <w:b/>
        </w:rPr>
        <w:t xml:space="preserve"> tỉnh </w:t>
      </w:r>
      <w:r w:rsidR="00034BE0">
        <w:rPr>
          <w:b/>
        </w:rPr>
        <w:t>Q</w:t>
      </w:r>
      <w:r w:rsidR="00034BE0" w:rsidRPr="00034BE0">
        <w:rPr>
          <w:b/>
        </w:rPr>
        <w:t>uy định</w:t>
      </w:r>
    </w:p>
    <w:p w14:paraId="61CD9E89" w14:textId="77777777" w:rsidR="00C55582" w:rsidRDefault="00034BE0" w:rsidP="00034BE0">
      <w:pPr>
        <w:jc w:val="center"/>
        <w:rPr>
          <w:b/>
        </w:rPr>
      </w:pPr>
      <w:r w:rsidRPr="00034BE0">
        <w:rPr>
          <w:b/>
        </w:rPr>
        <w:t xml:space="preserve">định mức cụ thể về hệ số lương, cấp bậc kỹ thuật và các chi phí </w:t>
      </w:r>
    </w:p>
    <w:p w14:paraId="03551B58" w14:textId="7306AAA6" w:rsidR="00C55582" w:rsidRDefault="00034BE0" w:rsidP="00034BE0">
      <w:pPr>
        <w:jc w:val="center"/>
        <w:rPr>
          <w:b/>
        </w:rPr>
      </w:pPr>
      <w:r w:rsidRPr="00034BE0">
        <w:rPr>
          <w:b/>
        </w:rPr>
        <w:t xml:space="preserve">P2, P3, P5, P6, P7, P8, P9, P11 trong giao rừng, cho thuê rừng </w:t>
      </w:r>
    </w:p>
    <w:p w14:paraId="23AE1DB8" w14:textId="3C49FD75" w:rsidR="007369E3" w:rsidRPr="00C85647" w:rsidRDefault="00034BE0" w:rsidP="00034BE0">
      <w:pPr>
        <w:jc w:val="center"/>
        <w:rPr>
          <w:b/>
        </w:rPr>
      </w:pPr>
      <w:r w:rsidRPr="00034BE0">
        <w:rPr>
          <w:b/>
        </w:rPr>
        <w:t>trên địa bàn tỉnh Tuyên Quang</w:t>
      </w:r>
    </w:p>
    <w:p w14:paraId="69B6D323" w14:textId="21940E56" w:rsidR="0002438F" w:rsidRDefault="00000000" w:rsidP="002D75DD">
      <w:pPr>
        <w:ind w:firstLine="573"/>
        <w:jc w:val="center"/>
      </w:pPr>
      <w:r>
        <w:rPr>
          <w:b/>
          <w:noProof/>
        </w:rPr>
        <w:pict w14:anchorId="71289C14">
          <v:shape id="_x0000_s1028" type="#_x0000_t32" style="position:absolute;left:0;text-align:left;margin-left:165.95pt;margin-top:6.35pt;width:136.5pt;height:0;z-index:1" o:connectortype="straight"/>
        </w:pict>
      </w:r>
    </w:p>
    <w:p w14:paraId="5E133797" w14:textId="77777777" w:rsidR="00034BE0" w:rsidRDefault="00034BE0" w:rsidP="0002438F">
      <w:pPr>
        <w:jc w:val="center"/>
      </w:pPr>
    </w:p>
    <w:p w14:paraId="25CEE7DE" w14:textId="580D851C" w:rsidR="00266FB2" w:rsidRDefault="00FC6E3F" w:rsidP="0002438F">
      <w:pPr>
        <w:jc w:val="center"/>
      </w:pPr>
      <w:r w:rsidRPr="00C85647">
        <w:t xml:space="preserve">Kính gửi: </w:t>
      </w:r>
      <w:r w:rsidR="00245962">
        <w:t xml:space="preserve">Chủ tịch </w:t>
      </w:r>
      <w:r w:rsidR="00215EA5" w:rsidRPr="00C85647">
        <w:t>Ủy ban nhân dân</w:t>
      </w:r>
      <w:r w:rsidRPr="00C85647">
        <w:t xml:space="preserve"> tỉnh </w:t>
      </w:r>
      <w:r w:rsidR="0002438F">
        <w:t>Tuyên Quang</w:t>
      </w:r>
    </w:p>
    <w:p w14:paraId="0DA1F6AF" w14:textId="77777777" w:rsidR="0002438F" w:rsidRPr="00EF678D" w:rsidRDefault="0002438F" w:rsidP="00126EB7">
      <w:pPr>
        <w:spacing w:before="120"/>
        <w:ind w:firstLine="573"/>
        <w:jc w:val="center"/>
      </w:pPr>
    </w:p>
    <w:p w14:paraId="1981528C" w14:textId="7CF5ACCB" w:rsidR="001774B6" w:rsidRPr="00EF678D" w:rsidRDefault="00761B2A" w:rsidP="00126EB7">
      <w:pPr>
        <w:pStyle w:val="NormalWeb"/>
        <w:spacing w:before="120" w:beforeAutospacing="0" w:after="0" w:afterAutospacing="0"/>
        <w:ind w:firstLine="709"/>
        <w:jc w:val="both"/>
        <w:rPr>
          <w:sz w:val="28"/>
          <w:szCs w:val="28"/>
        </w:rPr>
      </w:pPr>
      <w:r w:rsidRPr="00EF678D">
        <w:rPr>
          <w:sz w:val="28"/>
          <w:szCs w:val="28"/>
        </w:rPr>
        <w:t xml:space="preserve">Thực hiện quy định của Luật Ban hành văn bản quy phạm pháp luật, </w:t>
      </w:r>
      <w:r w:rsidR="001774B6" w:rsidRPr="00EF678D">
        <w:rPr>
          <w:sz w:val="28"/>
          <w:szCs w:val="28"/>
        </w:rPr>
        <w:t>Sở Nông nghiệp và Môi trường</w:t>
      </w:r>
      <w:r w:rsidR="00AE4420" w:rsidRPr="00EF678D">
        <w:rPr>
          <w:sz w:val="28"/>
          <w:szCs w:val="28"/>
        </w:rPr>
        <w:t xml:space="preserve"> kính trình </w:t>
      </w:r>
      <w:r w:rsidR="00245962" w:rsidRPr="00EF678D">
        <w:rPr>
          <w:sz w:val="28"/>
          <w:szCs w:val="28"/>
        </w:rPr>
        <w:t>Chủ tịch</w:t>
      </w:r>
      <w:r w:rsidR="00245962" w:rsidRPr="00EF678D">
        <w:t xml:space="preserve"> </w:t>
      </w:r>
      <w:r w:rsidR="001774B6" w:rsidRPr="00EF678D">
        <w:rPr>
          <w:sz w:val="28"/>
          <w:szCs w:val="28"/>
        </w:rPr>
        <w:t xml:space="preserve">Ủy ban nhân dân tỉnh </w:t>
      </w:r>
      <w:r w:rsidR="00D44593" w:rsidRPr="00EF678D">
        <w:rPr>
          <w:sz w:val="28"/>
          <w:szCs w:val="28"/>
        </w:rPr>
        <w:t xml:space="preserve">dự thảo </w:t>
      </w:r>
      <w:r w:rsidR="001774B6" w:rsidRPr="00EF678D">
        <w:rPr>
          <w:sz w:val="28"/>
          <w:szCs w:val="28"/>
        </w:rPr>
        <w:t xml:space="preserve">Quyết định </w:t>
      </w:r>
      <w:r w:rsidR="007E1AF4" w:rsidRPr="00EF678D">
        <w:rPr>
          <w:sz w:val="28"/>
          <w:szCs w:val="28"/>
        </w:rPr>
        <w:t xml:space="preserve">của </w:t>
      </w:r>
      <w:r w:rsidR="00034BE0" w:rsidRPr="00EF678D">
        <w:rPr>
          <w:sz w:val="28"/>
          <w:szCs w:val="28"/>
        </w:rPr>
        <w:t xml:space="preserve">Chủ tịch </w:t>
      </w:r>
      <w:r w:rsidR="007E1AF4" w:rsidRPr="00EF678D">
        <w:rPr>
          <w:sz w:val="28"/>
          <w:szCs w:val="28"/>
        </w:rPr>
        <w:t xml:space="preserve">Ủy ban nhân dân tỉnh </w:t>
      </w:r>
      <w:r w:rsidR="00034BE0" w:rsidRPr="00EF678D">
        <w:rPr>
          <w:sz w:val="28"/>
          <w:szCs w:val="28"/>
        </w:rPr>
        <w:t>Quy định định mức cụ thể về hệ số lương, cấp bậc kỹ thuật và các chi phí P2, P3, P5, P6, P7, P8, P9, P11 trong giao rừng, cho thuê rừng trên địa bàn tỉnh Tuyên Quang</w:t>
      </w:r>
      <w:r w:rsidR="00D44593" w:rsidRPr="00EF678D">
        <w:rPr>
          <w:sz w:val="28"/>
          <w:szCs w:val="28"/>
        </w:rPr>
        <w:t>,</w:t>
      </w:r>
      <w:r w:rsidR="001C4D60" w:rsidRPr="00EF678D">
        <w:rPr>
          <w:sz w:val="28"/>
          <w:szCs w:val="28"/>
        </w:rPr>
        <w:t xml:space="preserve"> </w:t>
      </w:r>
      <w:r w:rsidR="001774B6" w:rsidRPr="00EF678D">
        <w:rPr>
          <w:sz w:val="28"/>
          <w:szCs w:val="28"/>
        </w:rPr>
        <w:t>như sau:</w:t>
      </w:r>
    </w:p>
    <w:p w14:paraId="11487677" w14:textId="77777777" w:rsidR="00DD0BD4" w:rsidRPr="002832DC" w:rsidRDefault="00DD0BD4" w:rsidP="00126EB7">
      <w:pPr>
        <w:spacing w:before="120"/>
        <w:ind w:firstLine="709"/>
        <w:jc w:val="both"/>
        <w:rPr>
          <w:b/>
        </w:rPr>
      </w:pPr>
      <w:r w:rsidRPr="002832DC">
        <w:rPr>
          <w:b/>
        </w:rPr>
        <w:t xml:space="preserve">I. SỰ CẦN THIẾT BAN HÀNH </w:t>
      </w:r>
      <w:r w:rsidR="001C4D60" w:rsidRPr="002832DC">
        <w:rPr>
          <w:b/>
        </w:rPr>
        <w:t>QUYẾT ĐỊNH</w:t>
      </w:r>
    </w:p>
    <w:p w14:paraId="23F57026" w14:textId="3A0066C9" w:rsidR="008B0C9D" w:rsidRPr="002832DC" w:rsidRDefault="008B0C9D" w:rsidP="00126EB7">
      <w:pPr>
        <w:spacing w:before="120"/>
        <w:ind w:firstLine="709"/>
        <w:jc w:val="both"/>
        <w:rPr>
          <w:b/>
          <w:bCs/>
        </w:rPr>
      </w:pPr>
      <w:r w:rsidRPr="002832DC">
        <w:rPr>
          <w:b/>
          <w:bCs/>
        </w:rPr>
        <w:t>1. Cơ sở</w:t>
      </w:r>
      <w:r w:rsidR="00F00367" w:rsidRPr="002832DC">
        <w:rPr>
          <w:b/>
          <w:bCs/>
        </w:rPr>
        <w:t xml:space="preserve"> chính trị,</w:t>
      </w:r>
      <w:r w:rsidRPr="002832DC">
        <w:rPr>
          <w:b/>
          <w:bCs/>
        </w:rPr>
        <w:t xml:space="preserve"> pháp lý</w:t>
      </w:r>
    </w:p>
    <w:p w14:paraId="405713CE" w14:textId="77777777" w:rsidR="003109C0" w:rsidRPr="00EF678D" w:rsidRDefault="003109C0" w:rsidP="00126EB7">
      <w:pPr>
        <w:spacing w:before="120"/>
        <w:ind w:firstLine="709"/>
        <w:jc w:val="both"/>
        <w:rPr>
          <w:bCs/>
          <w:iCs/>
        </w:rPr>
      </w:pPr>
      <w:r w:rsidRPr="00EF678D">
        <w:rPr>
          <w:bCs/>
          <w:iCs/>
        </w:rPr>
        <w:t xml:space="preserve">Tại khoản 6 Điều 5 Thông tư số 58/2025/TT-BNNMT ngày 12/9/2025 của Bộ trưởng Bộ Nông nghiệp và Môi trường quy định định mức kinh tế - kỹ thuật giao rừng, cho thuê rừng quy định: </w:t>
      </w:r>
    </w:p>
    <w:p w14:paraId="679F958F" w14:textId="77777777" w:rsidR="003109C0" w:rsidRPr="00EF678D" w:rsidRDefault="003109C0" w:rsidP="00126EB7">
      <w:pPr>
        <w:spacing w:before="120"/>
        <w:ind w:firstLine="709"/>
        <w:jc w:val="both"/>
        <w:rPr>
          <w:bCs/>
          <w:i/>
        </w:rPr>
      </w:pPr>
      <w:r w:rsidRPr="00EF678D">
        <w:rPr>
          <w:bCs/>
          <w:i/>
        </w:rPr>
        <w:t>“Điều 5. Quy định về định mức kinh tế - kỹ thuật</w:t>
      </w:r>
    </w:p>
    <w:p w14:paraId="660B189C" w14:textId="28D66027" w:rsidR="003109C0" w:rsidRPr="00EF678D" w:rsidRDefault="003109C0" w:rsidP="00126EB7">
      <w:pPr>
        <w:spacing w:before="120"/>
        <w:ind w:firstLine="709"/>
        <w:jc w:val="both"/>
        <w:rPr>
          <w:rFonts w:ascii="Times New Roman Italic" w:hAnsi="Times New Roman Italic"/>
          <w:bCs/>
          <w:i/>
        </w:rPr>
      </w:pPr>
      <w:r w:rsidRPr="00EF678D">
        <w:rPr>
          <w:rFonts w:ascii="Times New Roman Italic" w:hAnsi="Times New Roman Italic"/>
          <w:bCs/>
          <w:i/>
        </w:rPr>
        <w:t xml:space="preserve"> ....6. Căn cứ định mức kinh tế - kỹ thuật của Thông tư này, Chủ tịch Ủy ban nhân dân cấp tỉnh quyết định định mức cụ thể về hệ số lương, cấp bậc kỹ thuật, các chi phí P2, P3, P5, P6, P7, P8, P9, P11 theo điều kiện thực tế tại địa phương.”</w:t>
      </w:r>
      <w:r w:rsidR="00FC1C21">
        <w:rPr>
          <w:rFonts w:ascii="Times New Roman Italic" w:hAnsi="Times New Roman Italic"/>
          <w:bCs/>
          <w:i/>
        </w:rPr>
        <w:t>.</w:t>
      </w:r>
    </w:p>
    <w:p w14:paraId="505C9913" w14:textId="2C65B2CF" w:rsidR="000541F3" w:rsidRPr="00EF678D" w:rsidRDefault="000541F3" w:rsidP="00126EB7">
      <w:pPr>
        <w:spacing w:before="120"/>
        <w:ind w:firstLine="709"/>
        <w:jc w:val="both"/>
      </w:pPr>
      <w:r w:rsidRPr="00EF678D">
        <w:t xml:space="preserve"> Để chủ động trong công tác giao rừng, cho thuê rừng đảm bảo đúng theo Nghị quyết số 100/2023/QH15 ngày 24/6/2023 của Quốc hội về hoạt động chất vấn tại Kỳ họp thứ 5, Quốc hội khóa XV, trong đó quyết nghị: “hoàn thành việc giao đất, giao rừng, cho thuê rừng gắn với cấp giấy chứng nhận quyền sử dụng đất lâm nghiệp vào năm 2026, bảo đảm tất cả diện tích rừng và đất được quy hoạch cho phát triển lâm nghiệp phải được giao, cho thuê đến những chủ rừng thực sự”.</w:t>
      </w:r>
    </w:p>
    <w:p w14:paraId="2F08F036" w14:textId="1C03944A" w:rsidR="008B0C9D" w:rsidRPr="00EF678D" w:rsidRDefault="008B0C9D" w:rsidP="00126EB7">
      <w:pPr>
        <w:spacing w:before="120"/>
        <w:ind w:firstLine="709"/>
        <w:jc w:val="both"/>
        <w:rPr>
          <w:b/>
          <w:bCs/>
        </w:rPr>
      </w:pPr>
      <w:r w:rsidRPr="00EF678D">
        <w:rPr>
          <w:b/>
          <w:bCs/>
        </w:rPr>
        <w:t>2. Cơ sở thực tiễn</w:t>
      </w:r>
    </w:p>
    <w:p w14:paraId="48BDDE96" w14:textId="2CCC9D35" w:rsidR="00211032" w:rsidRDefault="007F27E1" w:rsidP="00126EB7">
      <w:pPr>
        <w:spacing w:before="120"/>
        <w:ind w:firstLine="709"/>
        <w:jc w:val="both"/>
        <w:rPr>
          <w:bCs/>
          <w:iCs/>
          <w:color w:val="000000"/>
        </w:rPr>
      </w:pPr>
      <w:r w:rsidRPr="00EF678D">
        <w:rPr>
          <w:bCs/>
          <w:iCs/>
        </w:rPr>
        <w:t xml:space="preserve">Trong những năm qua, công tác giao rừng, cho thuê rừng trên địa bàn tỉnh Tuyên Quang đã được các cấp, các ngành quan tâm triển khai thực hiện, góp phần nâng cao hiệu quả quản lý nhà nước về lâm nghiệp, xác lập chủ rừng cụ thể, tạo cơ sở cho </w:t>
      </w:r>
      <w:r>
        <w:rPr>
          <w:bCs/>
          <w:iCs/>
          <w:color w:val="000000"/>
        </w:rPr>
        <w:t>quản lý, bảo vệ và phát triển rừng bền vững</w:t>
      </w:r>
      <w:r w:rsidR="003109C0">
        <w:rPr>
          <w:bCs/>
          <w:iCs/>
          <w:color w:val="000000"/>
        </w:rPr>
        <w:t>.</w:t>
      </w:r>
      <w:r w:rsidR="00211032">
        <w:rPr>
          <w:bCs/>
          <w:iCs/>
          <w:color w:val="000000"/>
        </w:rPr>
        <w:t xml:space="preserve"> Tuy nhiên, hiện </w:t>
      </w:r>
      <w:r w:rsidR="00211032">
        <w:rPr>
          <w:bCs/>
          <w:iCs/>
          <w:color w:val="000000"/>
        </w:rPr>
        <w:lastRenderedPageBreak/>
        <w:t>nay trên địa bàn tỉnh vẫn còn diện tích rừng và đất lâm nghiệp chưa hoàn thành giao rừng, cho thuê rừng; nhu cầu triển khai nhiệm vụ giao rừng</w:t>
      </w:r>
      <w:r w:rsidR="005205B6">
        <w:rPr>
          <w:bCs/>
          <w:iCs/>
          <w:color w:val="000000"/>
        </w:rPr>
        <w:t>, cho thuê rừng</w:t>
      </w:r>
      <w:r w:rsidR="00211032">
        <w:rPr>
          <w:bCs/>
          <w:iCs/>
          <w:color w:val="000000"/>
        </w:rPr>
        <w:t xml:space="preserve"> gắn với giao đất,</w:t>
      </w:r>
      <w:r w:rsidR="005205B6">
        <w:rPr>
          <w:bCs/>
          <w:iCs/>
          <w:color w:val="000000"/>
        </w:rPr>
        <w:t xml:space="preserve"> cho thuê đất</w:t>
      </w:r>
      <w:r w:rsidR="00211032">
        <w:rPr>
          <w:bCs/>
          <w:iCs/>
          <w:color w:val="000000"/>
        </w:rPr>
        <w:t xml:space="preserve"> cấp giấy chứng nhận quyền sử dụng đất trong giai đoạn tiếp theo rất lớn. </w:t>
      </w:r>
    </w:p>
    <w:p w14:paraId="07766F34" w14:textId="06370F6C" w:rsidR="00211032" w:rsidRDefault="003109C0" w:rsidP="00126EB7">
      <w:pPr>
        <w:spacing w:before="120"/>
        <w:ind w:firstLine="709"/>
        <w:jc w:val="both"/>
        <w:rPr>
          <w:bCs/>
          <w:iCs/>
          <w:color w:val="000000"/>
        </w:rPr>
      </w:pPr>
      <w:r>
        <w:rPr>
          <w:bCs/>
          <w:iCs/>
          <w:color w:val="000000"/>
        </w:rPr>
        <w:t>Từ ngày 01/7/2025, mô hình chính</w:t>
      </w:r>
      <w:r w:rsidRPr="00EF678D">
        <w:rPr>
          <w:bCs/>
          <w:iCs/>
          <w:color w:val="000000"/>
        </w:rPr>
        <w:t xml:space="preserve"> quyền địa phương 02 cấp đi vào hoạt động theo Nghị quyết số 202/2025/QH15 ngày 12/6/2025 của Quốc hội về việc sắp xếp đơn vị hành chính cấp tỉnh. Trên cơ sở đó, Chính phủ và Bộ Nông nghiệp và Môi trường đã ban hành các văn bản quy phạm pháp luật để thực hiện mô hình chính quyền địa phương 02 cấp, trong đó có các quy định về giao rừng, cho thuê rừng.</w:t>
      </w:r>
      <w:r w:rsidRPr="00EF678D">
        <w:rPr>
          <w:bCs/>
          <w:iCs/>
          <w:color w:val="FF0000"/>
        </w:rPr>
        <w:t xml:space="preserve"> </w:t>
      </w:r>
      <w:r w:rsidRPr="00EF678D">
        <w:rPr>
          <w:bCs/>
          <w:iCs/>
          <w:color w:val="000000"/>
        </w:rPr>
        <w:t xml:space="preserve">Ngày 12/9/2025, Bộ trưởng Nông nghiệp và Môi trường đã ban hành Thông tư số 58/2025/TT-BNNMT quy định định mức kinh tế - kỹ thuật giao </w:t>
      </w:r>
      <w:r>
        <w:rPr>
          <w:bCs/>
          <w:iCs/>
          <w:color w:val="000000"/>
        </w:rPr>
        <w:t xml:space="preserve">rừng, cho thuê rừng thay thế Quyết định số 112/2008/QĐ-BNN ngày 19/11/2008 của Bộ trưởng Bộ Nông nghiệp và Phát triển nông thôn về Định mức kinh tế - kỹ thuật giao rừng, cho thuê rừng, cấp giấy chứng nhận quyền sử dụng đất cho mục đích lâm nghiệp gắn với việc lập hồ sơ quản lý rừng. </w:t>
      </w:r>
      <w:r w:rsidR="00211032">
        <w:rPr>
          <w:bCs/>
          <w:iCs/>
          <w:color w:val="000000"/>
        </w:rPr>
        <w:t>Theo quy định tại Thông tư số 58/2025/TT-BNNMT, hệ số lương, cấp bậc kỹ thuật và các chi phí liên quan được quy định theo khung để địa phương căn cứ điều kiện thực tế lựa chọn mức áp dụng phù hợp.</w:t>
      </w:r>
    </w:p>
    <w:p w14:paraId="13145CBA" w14:textId="5FF159C8" w:rsidR="007F27E1" w:rsidRPr="00EF678D" w:rsidRDefault="007F27E1" w:rsidP="00126EB7">
      <w:pPr>
        <w:spacing w:before="120"/>
        <w:ind w:firstLine="709"/>
        <w:jc w:val="both"/>
        <w:rPr>
          <w:bCs/>
          <w:iCs/>
        </w:rPr>
      </w:pPr>
      <w:r>
        <w:rPr>
          <w:bCs/>
          <w:iCs/>
          <w:color w:val="000000"/>
        </w:rPr>
        <w:t xml:space="preserve">Việc ban hành Quyết định </w:t>
      </w:r>
      <w:r>
        <w:rPr>
          <w:bCs/>
          <w:i/>
          <w:color w:val="000000"/>
        </w:rPr>
        <w:t>“Quy định định mức cụ thể về hệ số lương, cấp bậc kỹ thuật và các chi phí P2, P3, P5, P6, P7, P8</w:t>
      </w:r>
      <w:r w:rsidRPr="00EF678D">
        <w:rPr>
          <w:bCs/>
          <w:i/>
        </w:rPr>
        <w:t>, P9, P11 trong giao rừng, cho thuê rừng trên địa bàn tỉnh Tuyên Quang”</w:t>
      </w:r>
      <w:r w:rsidRPr="00EF678D">
        <w:rPr>
          <w:bCs/>
          <w:iCs/>
        </w:rPr>
        <w:t xml:space="preserve"> là cần thiết nhằm bảo đảm có cơ sở pháp lý để lập, thẩm định, phê duyệt dự toán và tổ chức thực hiện các phương án, nhiệm vụ giao rừng, cho thuê rừng; đồng thời góp phần đẩy nhanh tiến độ hoàn thành giao đất, giao rừng theo yêu cầu của Quốc hội và đáp ứng yêu cầu quản lý, sử dụng rừng hiệu quả, bền vững trong giai đoạn hiện nay.</w:t>
      </w:r>
    </w:p>
    <w:p w14:paraId="4553E4C8" w14:textId="419FB154" w:rsidR="009C03DB" w:rsidRPr="002832DC" w:rsidRDefault="009C03DB" w:rsidP="00126EB7">
      <w:pPr>
        <w:spacing w:before="120"/>
        <w:ind w:firstLine="709"/>
        <w:jc w:val="both"/>
        <w:rPr>
          <w:rFonts w:ascii="Times New Roman Bold" w:hAnsi="Times New Roman Bold"/>
          <w:b/>
        </w:rPr>
      </w:pPr>
      <w:r w:rsidRPr="002832DC">
        <w:rPr>
          <w:rFonts w:ascii="Times New Roman Bold" w:hAnsi="Times New Roman Bold"/>
          <w:b/>
        </w:rPr>
        <w:t>II. MỤC ĐÍCH</w:t>
      </w:r>
      <w:r w:rsidR="009F5580" w:rsidRPr="002832DC">
        <w:rPr>
          <w:rFonts w:ascii="Times New Roman Bold" w:hAnsi="Times New Roman Bold"/>
          <w:b/>
        </w:rPr>
        <w:t xml:space="preserve"> BAN HÀNH</w:t>
      </w:r>
      <w:r w:rsidRPr="002832DC">
        <w:rPr>
          <w:rFonts w:ascii="Times New Roman Bold" w:hAnsi="Times New Roman Bold"/>
          <w:b/>
        </w:rPr>
        <w:t xml:space="preserve">, QUAN ĐIỂM XÂY DỰNG DỰ THẢO </w:t>
      </w:r>
      <w:r w:rsidR="001C4D60" w:rsidRPr="002832DC">
        <w:rPr>
          <w:rFonts w:ascii="Times New Roman Bold" w:hAnsi="Times New Roman Bold"/>
          <w:b/>
        </w:rPr>
        <w:t>QUYẾT ĐỊNH</w:t>
      </w:r>
    </w:p>
    <w:p w14:paraId="236E5CD8" w14:textId="3A63B70E" w:rsidR="000541F3" w:rsidRPr="00EF678D" w:rsidRDefault="006432C0" w:rsidP="00126EB7">
      <w:pPr>
        <w:spacing w:before="120"/>
        <w:ind w:firstLine="709"/>
        <w:jc w:val="both"/>
        <w:rPr>
          <w:b/>
        </w:rPr>
      </w:pPr>
      <w:r w:rsidRPr="00EF678D">
        <w:rPr>
          <w:b/>
        </w:rPr>
        <w:t xml:space="preserve">1. </w:t>
      </w:r>
      <w:r w:rsidRPr="00EF678D">
        <w:rPr>
          <w:bCs/>
        </w:rPr>
        <w:t>Mục đích</w:t>
      </w:r>
      <w:r w:rsidR="001C4D60" w:rsidRPr="00EF678D">
        <w:rPr>
          <w:bCs/>
        </w:rPr>
        <w:t xml:space="preserve"> ban hành</w:t>
      </w:r>
      <w:r w:rsidR="000541F3" w:rsidRPr="00EF678D">
        <w:t>:</w:t>
      </w:r>
      <w:r w:rsidR="000541F3" w:rsidRPr="00EF678D">
        <w:rPr>
          <w:b/>
        </w:rPr>
        <w:t xml:space="preserve"> </w:t>
      </w:r>
      <w:r w:rsidR="000541F3" w:rsidRPr="00EF678D">
        <w:t>Quy định định mức cụ thể về hệ số lương, cấp bậc kỹ thuật và các chi phí P2, P3, P5, P6, P7, P8, P9, P11 trong giao rừng, cho thuê rừng trên địa bàn tỉnh Tuyên Quang là cơ sở để xây dựng kế hoạch, dự toán và thực hiện phương án/nhiệm vụ giao rừng, cho thuê rừng trên địa bàn tỉnh Tuyên Quang.</w:t>
      </w:r>
    </w:p>
    <w:p w14:paraId="37AF2EC9" w14:textId="71347984" w:rsidR="00594811" w:rsidRPr="00EF678D" w:rsidRDefault="00594811" w:rsidP="00126EB7">
      <w:pPr>
        <w:spacing w:before="120"/>
        <w:ind w:firstLine="709"/>
        <w:jc w:val="both"/>
        <w:rPr>
          <w:b/>
        </w:rPr>
      </w:pPr>
      <w:r w:rsidRPr="00EF678D">
        <w:rPr>
          <w:b/>
        </w:rPr>
        <w:t xml:space="preserve">2. </w:t>
      </w:r>
      <w:r w:rsidRPr="00EF678D">
        <w:rPr>
          <w:bCs/>
        </w:rPr>
        <w:t xml:space="preserve">Quan điểm xây dựng </w:t>
      </w:r>
      <w:r w:rsidR="0023087D" w:rsidRPr="00EF678D">
        <w:rPr>
          <w:bCs/>
        </w:rPr>
        <w:t xml:space="preserve">dự thảo </w:t>
      </w:r>
      <w:r w:rsidR="001C4D60" w:rsidRPr="00EF678D">
        <w:rPr>
          <w:bCs/>
        </w:rPr>
        <w:t>Quyết định</w:t>
      </w:r>
      <w:r w:rsidR="000541F3" w:rsidRPr="00EF678D">
        <w:rPr>
          <w:bCs/>
        </w:rPr>
        <w:t>:</w:t>
      </w:r>
    </w:p>
    <w:p w14:paraId="6C7B4433" w14:textId="16F25088" w:rsidR="000541F3" w:rsidRPr="00EF678D" w:rsidRDefault="000541F3" w:rsidP="00126EB7">
      <w:pPr>
        <w:autoSpaceDE w:val="0"/>
        <w:autoSpaceDN w:val="0"/>
        <w:adjustRightInd w:val="0"/>
        <w:spacing w:before="120"/>
        <w:ind w:firstLine="709"/>
        <w:jc w:val="both"/>
      </w:pPr>
      <w:r w:rsidRPr="00EF678D">
        <w:t>- Phù hợp với pháp luật về ban hành văn bản quy phạm pháp luật và các văn bản hiện hành của pháp luật có liên quan.</w:t>
      </w:r>
    </w:p>
    <w:p w14:paraId="69B829CD" w14:textId="7838E5C5" w:rsidR="000541F3" w:rsidRDefault="000541F3" w:rsidP="00126EB7">
      <w:pPr>
        <w:autoSpaceDE w:val="0"/>
        <w:autoSpaceDN w:val="0"/>
        <w:adjustRightInd w:val="0"/>
        <w:spacing w:before="120"/>
        <w:ind w:firstLine="709"/>
        <w:jc w:val="both"/>
        <w:rPr>
          <w:spacing w:val="-6"/>
        </w:rPr>
      </w:pPr>
      <w:r w:rsidRPr="00EF678D">
        <w:t>- Định mức hệ số lương, cấp bậc kỹ thuật, các chi phí đề xuất nhỏ hơn hoặc bằng, không lớn hơn so với định mức kinh tế - kỹ thuật của công việc điều tra rừng được quy định tại Thông tư số 58/2025/TT-BNNMT ngày 12/9/2025 của Bộ Nông nghiệp và Môi trường. Phù hợp với nguồn lực, khả năng đáp ứng ngân sách của tỉnh Tuyên Quang.</w:t>
      </w:r>
    </w:p>
    <w:p w14:paraId="368608D9" w14:textId="77777777" w:rsidR="00E16C0B" w:rsidRPr="002832DC" w:rsidRDefault="00F83BD5" w:rsidP="00126EB7">
      <w:pPr>
        <w:spacing w:before="120"/>
        <w:ind w:firstLine="709"/>
        <w:jc w:val="both"/>
        <w:rPr>
          <w:b/>
        </w:rPr>
      </w:pPr>
      <w:r w:rsidRPr="002832DC">
        <w:rPr>
          <w:b/>
        </w:rPr>
        <w:t>III</w:t>
      </w:r>
      <w:r w:rsidR="00E16C0B" w:rsidRPr="002832DC">
        <w:rPr>
          <w:b/>
        </w:rPr>
        <w:t xml:space="preserve">. QUÁ TRÌNH XÂY DỰNG DỰ THẢO </w:t>
      </w:r>
      <w:r w:rsidR="001C4D60" w:rsidRPr="002832DC">
        <w:rPr>
          <w:b/>
        </w:rPr>
        <w:t>QUYẾT ĐỊNH</w:t>
      </w:r>
    </w:p>
    <w:p w14:paraId="0E5B6DBE" w14:textId="4BF070E3" w:rsidR="000541F3" w:rsidRDefault="007A766F" w:rsidP="00126EB7">
      <w:pPr>
        <w:spacing w:before="120"/>
        <w:ind w:firstLine="709"/>
        <w:jc w:val="both"/>
      </w:pPr>
      <w:r w:rsidRPr="007A766F">
        <w:lastRenderedPageBreak/>
        <w:t>Thực hiện quy trình, thủ tục xây dựng văn bản quy phạm pháp luật theo quy định của Luật ban hành văn bản quy phạm pháp luật số 64/2025/QH15, Sở Nông nghiệp và Môi trường đã triển khai các công việc sau:</w:t>
      </w:r>
    </w:p>
    <w:p w14:paraId="0C11D460" w14:textId="1E7262D7" w:rsidR="007A766F" w:rsidRPr="007A766F" w:rsidRDefault="007A766F" w:rsidP="00126EB7">
      <w:pPr>
        <w:spacing w:before="120"/>
        <w:ind w:firstLine="709"/>
        <w:jc w:val="both"/>
        <w:rPr>
          <w:bCs/>
        </w:rPr>
      </w:pPr>
      <w:r w:rsidRPr="007A766F">
        <w:rPr>
          <w:b/>
        </w:rPr>
        <w:tab/>
        <w:t xml:space="preserve">1. </w:t>
      </w:r>
      <w:r w:rsidRPr="007A766F">
        <w:rPr>
          <w:bCs/>
        </w:rPr>
        <w:t xml:space="preserve">Phân công đơn vị tham mưu xây dựng dự thảo Quyết định tại Văn bản số 3137/SNNMT-KL ngày 18/5/2026 của Sở Nông nghiệp và Môi trường về việc giao tham mưu nhiệm vụ xây dựng Quyết định của Chủ tịch Ủy ban nhân dân tỉnh Quy định định mức cụ thể về hệ số lương, cấp bậc kỹ thuật và các chi phí P2, P3, P5, P6, P7, P8, P9, P11 trong giao rừng, cho thuê rừng trên địa bàn tỉnh Tuyên Quang của Sở Nông nghiệp và Môi trường. </w:t>
      </w:r>
    </w:p>
    <w:p w14:paraId="42E34215" w14:textId="254681E9" w:rsidR="007A766F" w:rsidRPr="007A766F" w:rsidRDefault="007A766F" w:rsidP="00126EB7">
      <w:pPr>
        <w:spacing w:before="120"/>
        <w:ind w:firstLine="709"/>
        <w:jc w:val="both"/>
        <w:rPr>
          <w:bCs/>
        </w:rPr>
      </w:pPr>
      <w:r w:rsidRPr="007A766F">
        <w:rPr>
          <w:b/>
        </w:rPr>
        <w:t>2.</w:t>
      </w:r>
      <w:r w:rsidRPr="007A766F">
        <w:rPr>
          <w:bCs/>
        </w:rPr>
        <w:t xml:space="preserve"> Xây dựng hồ sơ dự thảo Quyết định Quy định định mức cụ thể về hệ số lương, cấp bậc kỹ thuật và các chi phí P2, P3, P5, P6, P7, P8, P9, P11 trong giao rừng, cho thuê rừng trên địa bàn tỉnh Tuyên Quang. </w:t>
      </w:r>
    </w:p>
    <w:p w14:paraId="16A1E255" w14:textId="3E137BA0" w:rsidR="00B369BB" w:rsidRDefault="007A766F" w:rsidP="00126EB7">
      <w:pPr>
        <w:spacing w:before="120"/>
        <w:ind w:firstLine="709"/>
        <w:jc w:val="both"/>
      </w:pPr>
      <w:r w:rsidRPr="007A766F">
        <w:rPr>
          <w:b/>
          <w:spacing w:val="-2"/>
        </w:rPr>
        <w:tab/>
        <w:t xml:space="preserve">3. </w:t>
      </w:r>
      <w:r w:rsidRPr="007A766F">
        <w:rPr>
          <w:bCs/>
          <w:spacing w:val="-2"/>
        </w:rPr>
        <w:t xml:space="preserve">Tổ chức lấy ý kiến </w:t>
      </w:r>
      <w:r>
        <w:rPr>
          <w:bCs/>
          <w:spacing w:val="-2"/>
        </w:rPr>
        <w:t>tham gia</w:t>
      </w:r>
      <w:r w:rsidRPr="007A766F">
        <w:rPr>
          <w:bCs/>
          <w:spacing w:val="-2"/>
        </w:rPr>
        <w:t xml:space="preserve"> của Ủy ban Mặt trận Tổ quốc Việt Nam tỉnh</w:t>
      </w:r>
      <w:r>
        <w:rPr>
          <w:bCs/>
          <w:spacing w:val="-2"/>
        </w:rPr>
        <w:t xml:space="preserve">, </w:t>
      </w:r>
      <w:r w:rsidRPr="007A766F">
        <w:rPr>
          <w:bCs/>
          <w:spacing w:val="-2"/>
        </w:rPr>
        <w:t xml:space="preserve">các sở, ban, ngành, cơ quan, </w:t>
      </w:r>
      <w:r>
        <w:rPr>
          <w:bCs/>
          <w:color w:val="000000"/>
          <w:spacing w:val="-2"/>
        </w:rPr>
        <w:t>đơn vị</w:t>
      </w:r>
      <w:r w:rsidR="00D41159">
        <w:rPr>
          <w:bCs/>
          <w:color w:val="000000"/>
          <w:spacing w:val="-2"/>
        </w:rPr>
        <w:t>,</w:t>
      </w:r>
      <w:r>
        <w:rPr>
          <w:bCs/>
          <w:color w:val="000000"/>
          <w:spacing w:val="-2"/>
        </w:rPr>
        <w:t xml:space="preserve"> </w:t>
      </w:r>
      <w:r w:rsidR="00D41159">
        <w:rPr>
          <w:bCs/>
          <w:color w:val="000000"/>
        </w:rPr>
        <w:t xml:space="preserve">chủ rừng </w:t>
      </w:r>
      <w:r>
        <w:rPr>
          <w:bCs/>
          <w:color w:val="000000"/>
          <w:spacing w:val="-2"/>
        </w:rPr>
        <w:t>và Ủy</w:t>
      </w:r>
      <w:r w:rsidRPr="007A766F">
        <w:rPr>
          <w:bCs/>
          <w:spacing w:val="-2"/>
        </w:rPr>
        <w:t xml:space="preserve"> ban nhân dân các xã, phường</w:t>
      </w:r>
      <w:r w:rsidR="00B369BB">
        <w:rPr>
          <w:bCs/>
          <w:spacing w:val="-2"/>
        </w:rPr>
        <w:t xml:space="preserve"> </w:t>
      </w:r>
      <w:r w:rsidR="00B369BB" w:rsidRPr="007A766F">
        <w:rPr>
          <w:bCs/>
          <w:spacing w:val="-2"/>
        </w:rPr>
        <w:t>tại Văn bản số ........</w:t>
      </w:r>
      <w:r w:rsidR="00B369BB">
        <w:rPr>
          <w:bCs/>
          <w:spacing w:val="-2"/>
        </w:rPr>
        <w:t>/SNNMT-KL ngày .../.../2026</w:t>
      </w:r>
      <w:r w:rsidRPr="007A766F">
        <w:rPr>
          <w:bCs/>
          <w:spacing w:val="-2"/>
        </w:rPr>
        <w:t xml:space="preserve">; </w:t>
      </w:r>
      <w:r w:rsidR="00B369BB">
        <w:rPr>
          <w:bCs/>
          <w:spacing w:val="-2"/>
        </w:rPr>
        <w:t xml:space="preserve">đồng thời </w:t>
      </w:r>
      <w:r w:rsidR="00B369BB" w:rsidRPr="006E3B93">
        <w:rPr>
          <w:spacing w:val="-4"/>
        </w:rPr>
        <w:t xml:space="preserve">công khai trên Cổng thông tin điện tử của Sở tại địa chỉ: </w:t>
      </w:r>
      <w:hyperlink r:id="rId8" w:tgtFrame="_new" w:history="1">
        <w:r w:rsidR="00B369BB" w:rsidRPr="006E3B93">
          <w:rPr>
            <w:rStyle w:val="Hyperlink"/>
            <w:spacing w:val="-4"/>
          </w:rPr>
          <w:t>https://sonnmt.tuyenquang.gov.vn/vi</w:t>
        </w:r>
      </w:hyperlink>
      <w:r w:rsidR="00B369BB" w:rsidRPr="007E4F2E">
        <w:rPr>
          <w:spacing w:val="-2"/>
        </w:rPr>
        <w:t xml:space="preserve">; </w:t>
      </w:r>
      <w:r w:rsidR="00B369BB">
        <w:t xml:space="preserve">tổng hợp các ý kiến tham gia, đồng thời nghiên cứu, tiếp thu hoàn thiện dự thảo Quyết định bảo đảm tính phù hợp, khả thi và hiệu quả trong quá trình tổ chức triển khai thực hiện. </w:t>
      </w:r>
    </w:p>
    <w:p w14:paraId="2B868B2E" w14:textId="77777777" w:rsidR="00D41159" w:rsidRDefault="00D41159" w:rsidP="00126EB7">
      <w:pPr>
        <w:spacing w:before="120"/>
        <w:ind w:firstLine="709"/>
        <w:jc w:val="both"/>
        <w:rPr>
          <w:color w:val="000000"/>
        </w:rPr>
      </w:pPr>
      <w:r>
        <w:rPr>
          <w:b/>
          <w:bCs/>
          <w:color w:val="000000"/>
        </w:rPr>
        <w:t>4.</w:t>
      </w:r>
      <w:r>
        <w:rPr>
          <w:color w:val="000000"/>
        </w:rPr>
        <w:t xml:space="preserve"> Đề nghị Sở Tư pháp thẩm định hồ sơ dự thảo Quyết định.</w:t>
      </w:r>
    </w:p>
    <w:p w14:paraId="63963289" w14:textId="77777777" w:rsidR="00D41159" w:rsidRDefault="00D41159" w:rsidP="00126EB7">
      <w:pPr>
        <w:spacing w:before="120"/>
        <w:ind w:firstLine="709"/>
        <w:jc w:val="both"/>
        <w:rPr>
          <w:color w:val="000000"/>
        </w:rPr>
      </w:pPr>
      <w:r>
        <w:rPr>
          <w:b/>
          <w:bCs/>
          <w:color w:val="000000"/>
        </w:rPr>
        <w:t>5.</w:t>
      </w:r>
      <w:r>
        <w:rPr>
          <w:color w:val="000000"/>
        </w:rPr>
        <w:t xml:space="preserve"> Trên cơ sở ý kiến thẩm định của Sở Tư pháp, Sở Nông nghiệp và Môi trường nghiêm túc nghiên cứu, tiếp thu, giải trình đầy đủ các nội dung góp ý; rà soát, chỉnh sửa và hoàn thiện dự thảo Quyết định, bảo đảm phù hợp quy định của pháp luật trước khi trình Ủy ban nhân dân tỉnh xem xét, ban hành.</w:t>
      </w:r>
    </w:p>
    <w:p w14:paraId="0C3CDAA6" w14:textId="77777777" w:rsidR="009F5580" w:rsidRPr="002832DC" w:rsidRDefault="00F83BD5" w:rsidP="00126EB7">
      <w:pPr>
        <w:spacing w:before="120"/>
        <w:ind w:firstLine="709"/>
        <w:jc w:val="both"/>
        <w:rPr>
          <w:rFonts w:ascii="Times New Roman Bold" w:hAnsi="Times New Roman Bold"/>
          <w:b/>
          <w:spacing w:val="-4"/>
        </w:rPr>
      </w:pPr>
      <w:r w:rsidRPr="002832DC">
        <w:rPr>
          <w:rFonts w:ascii="Times New Roman Bold" w:hAnsi="Times New Roman Bold"/>
          <w:b/>
          <w:spacing w:val="-4"/>
        </w:rPr>
        <w:t>IV</w:t>
      </w:r>
      <w:r w:rsidR="009F5580" w:rsidRPr="002832DC">
        <w:rPr>
          <w:rFonts w:ascii="Times New Roman Bold" w:hAnsi="Times New Roman Bold"/>
          <w:b/>
          <w:spacing w:val="-4"/>
        </w:rPr>
        <w:t xml:space="preserve">. </w:t>
      </w:r>
      <w:r w:rsidRPr="002832DC">
        <w:rPr>
          <w:rFonts w:ascii="Times New Roman Bold" w:hAnsi="Times New Roman Bold"/>
          <w:b/>
          <w:spacing w:val="-4"/>
        </w:rPr>
        <w:t xml:space="preserve">BỐ CỤC VÀ NỘI DUNG CƠ BẢN CỦA DỰ THẢO </w:t>
      </w:r>
      <w:r w:rsidR="001C4D60" w:rsidRPr="002832DC">
        <w:rPr>
          <w:rFonts w:ascii="Times New Roman Bold" w:hAnsi="Times New Roman Bold"/>
          <w:b/>
          <w:spacing w:val="-6"/>
        </w:rPr>
        <w:t>QUYẾT ĐỊNH</w:t>
      </w:r>
    </w:p>
    <w:p w14:paraId="159CC57C" w14:textId="08F1F51E" w:rsidR="009A3329" w:rsidRPr="00D41159" w:rsidRDefault="009A3329" w:rsidP="00126EB7">
      <w:pPr>
        <w:spacing w:before="120"/>
        <w:ind w:firstLine="709"/>
        <w:jc w:val="both"/>
        <w:rPr>
          <w:b/>
          <w:color w:val="1B1B1C"/>
          <w:shd w:val="clear" w:color="auto" w:fill="FFFFFF"/>
        </w:rPr>
      </w:pPr>
      <w:r w:rsidRPr="00D41159">
        <w:rPr>
          <w:b/>
          <w:color w:val="1B1B1C"/>
          <w:shd w:val="clear" w:color="auto" w:fill="FFFFFF"/>
        </w:rPr>
        <w:t>1. Phạm vi điều chỉnh, đối tượng áp dụng</w:t>
      </w:r>
    </w:p>
    <w:p w14:paraId="3A50DBD9" w14:textId="77777777" w:rsidR="009A3329" w:rsidRPr="00D41159" w:rsidRDefault="009A3329" w:rsidP="00126EB7">
      <w:pPr>
        <w:spacing w:before="120"/>
        <w:ind w:firstLine="720"/>
        <w:jc w:val="both"/>
        <w:rPr>
          <w:color w:val="000000"/>
          <w:lang w:val="vi-VN"/>
        </w:rPr>
      </w:pPr>
      <w:r w:rsidRPr="00D41159">
        <w:rPr>
          <w:color w:val="000000"/>
          <w:lang w:val="vi-VN"/>
        </w:rPr>
        <w:t>a. Phạm vi điều chỉnh</w:t>
      </w:r>
    </w:p>
    <w:p w14:paraId="50081400" w14:textId="110A2107" w:rsidR="00B369BB" w:rsidRPr="00D41159" w:rsidRDefault="00B369BB" w:rsidP="00126EB7">
      <w:pPr>
        <w:spacing w:before="120"/>
        <w:ind w:firstLine="720"/>
        <w:jc w:val="both"/>
        <w:rPr>
          <w:color w:val="000000"/>
          <w:lang w:val="vi-VN"/>
        </w:rPr>
      </w:pPr>
      <w:r w:rsidRPr="00D41159">
        <w:rPr>
          <w:color w:val="000000"/>
          <w:lang w:val="vi-VN"/>
        </w:rPr>
        <w:t xml:space="preserve">Quyết định này quy định định mức hệ số lương, cấp bậc kỹ thuật và các chi phí P2, P3, P5, P6, P7, P8, P9, P11 để thực hiện giao rừng, cho thuê rừng trên địa bàn tỉnh Tuyên Quang. </w:t>
      </w:r>
    </w:p>
    <w:p w14:paraId="136817B3" w14:textId="06CF0BE5" w:rsidR="009A3329" w:rsidRPr="00D41159" w:rsidRDefault="009A3329" w:rsidP="00126EB7">
      <w:pPr>
        <w:spacing w:before="120"/>
        <w:ind w:firstLine="720"/>
        <w:jc w:val="both"/>
        <w:rPr>
          <w:lang w:val="vi-VN"/>
        </w:rPr>
      </w:pPr>
      <w:r w:rsidRPr="00D41159">
        <w:rPr>
          <w:lang w:val="vi-VN"/>
        </w:rPr>
        <w:t>b. Đối tượng áp dụng</w:t>
      </w:r>
    </w:p>
    <w:p w14:paraId="0AA21506" w14:textId="5FCB1AA4" w:rsidR="00B369BB" w:rsidRPr="00B369BB" w:rsidRDefault="00B369BB" w:rsidP="00126EB7">
      <w:pPr>
        <w:spacing w:before="120"/>
        <w:ind w:firstLine="709"/>
        <w:jc w:val="both"/>
        <w:rPr>
          <w:bCs/>
          <w:iCs/>
          <w:color w:val="000000"/>
          <w:lang w:val="nl-NL"/>
        </w:rPr>
      </w:pPr>
      <w:r>
        <w:rPr>
          <w:bCs/>
          <w:iCs/>
          <w:color w:val="000000"/>
          <w:lang w:val="nl-NL"/>
        </w:rPr>
        <w:t>-</w:t>
      </w:r>
      <w:r w:rsidRPr="00B369BB">
        <w:rPr>
          <w:bCs/>
          <w:iCs/>
          <w:color w:val="000000"/>
          <w:lang w:val="nl-NL"/>
        </w:rPr>
        <w:t xml:space="preserve"> Quyết định này áp dụng đối với cơ quan nhà nước, tổ chức, hộ gia đình, cá nhân, cộng đồng dân cư có liên quan đến hoạt động giao rừng, cho thuê rừng.</w:t>
      </w:r>
    </w:p>
    <w:p w14:paraId="5BDA14B1" w14:textId="2D50D6E2" w:rsidR="00B369BB" w:rsidRDefault="00B369BB" w:rsidP="00126EB7">
      <w:pPr>
        <w:spacing w:before="120"/>
        <w:ind w:firstLine="709"/>
        <w:jc w:val="both"/>
        <w:rPr>
          <w:bCs/>
          <w:iCs/>
          <w:color w:val="000000"/>
          <w:lang w:val="nl-NL"/>
        </w:rPr>
      </w:pPr>
      <w:r>
        <w:rPr>
          <w:bCs/>
          <w:iCs/>
          <w:color w:val="000000"/>
          <w:lang w:val="nl-NL"/>
        </w:rPr>
        <w:t>-</w:t>
      </w:r>
      <w:r w:rsidRPr="00B369BB">
        <w:rPr>
          <w:bCs/>
          <w:iCs/>
          <w:color w:val="000000"/>
          <w:lang w:val="nl-NL"/>
        </w:rPr>
        <w:t xml:space="preserve"> Khuyến khích tổ chức, cá nhân không sử dụng ngân sách nhà nước trong hoạt động giao rừng, cho thuê rừng</w:t>
      </w:r>
      <w:r w:rsidR="0055374A">
        <w:rPr>
          <w:bCs/>
          <w:iCs/>
          <w:color w:val="000000"/>
          <w:lang w:val="nl-NL"/>
        </w:rPr>
        <w:t xml:space="preserve"> tham khảo</w:t>
      </w:r>
      <w:r w:rsidRPr="00B369BB">
        <w:rPr>
          <w:bCs/>
          <w:iCs/>
          <w:color w:val="000000"/>
          <w:lang w:val="nl-NL"/>
        </w:rPr>
        <w:t xml:space="preserve"> áp dụng định mức kinh tế - kỹ thuật được quy định tại Quyết định này.</w:t>
      </w:r>
    </w:p>
    <w:p w14:paraId="1514E38A" w14:textId="299F35A7" w:rsidR="00F83BD5" w:rsidRPr="00F724C7" w:rsidRDefault="009A3329" w:rsidP="00126EB7">
      <w:pPr>
        <w:spacing w:before="120"/>
        <w:ind w:firstLine="709"/>
        <w:jc w:val="both"/>
        <w:rPr>
          <w:b/>
          <w:lang w:val="nl-NL"/>
        </w:rPr>
      </w:pPr>
      <w:r w:rsidRPr="00F724C7">
        <w:rPr>
          <w:b/>
          <w:lang w:val="nl-NL"/>
        </w:rPr>
        <w:t>2</w:t>
      </w:r>
      <w:r w:rsidR="00F83BD5" w:rsidRPr="00F724C7">
        <w:rPr>
          <w:b/>
          <w:lang w:val="nl-NL"/>
        </w:rPr>
        <w:t xml:space="preserve">. Bố cục của dự thảo </w:t>
      </w:r>
      <w:r w:rsidR="001C4D60" w:rsidRPr="00F724C7">
        <w:rPr>
          <w:b/>
          <w:lang w:val="nl-NL"/>
        </w:rPr>
        <w:t>Quyết định</w:t>
      </w:r>
    </w:p>
    <w:p w14:paraId="5D69D828" w14:textId="760E60EE" w:rsidR="00744234" w:rsidRDefault="00B369BB" w:rsidP="00126EB7">
      <w:pPr>
        <w:spacing w:before="120"/>
        <w:ind w:firstLine="709"/>
        <w:jc w:val="both"/>
        <w:rPr>
          <w:color w:val="000000"/>
          <w:lang w:val="nl-NL"/>
        </w:rPr>
      </w:pPr>
      <w:r>
        <w:rPr>
          <w:color w:val="000000"/>
          <w:lang w:val="nl-NL"/>
        </w:rPr>
        <w:t>Dự thảo Quyết định gồm 0</w:t>
      </w:r>
      <w:r w:rsidR="00D41159">
        <w:rPr>
          <w:color w:val="000000"/>
          <w:lang w:val="nl-NL"/>
        </w:rPr>
        <w:t>3</w:t>
      </w:r>
      <w:r>
        <w:rPr>
          <w:color w:val="000000"/>
          <w:lang w:val="nl-NL"/>
        </w:rPr>
        <w:t xml:space="preserve"> Điều, cụ thể như sau:</w:t>
      </w:r>
    </w:p>
    <w:p w14:paraId="5603A4E5" w14:textId="477C1106" w:rsidR="00D41159" w:rsidRDefault="00F96DCC" w:rsidP="00126EB7">
      <w:pPr>
        <w:spacing w:before="120"/>
        <w:ind w:firstLine="709"/>
        <w:jc w:val="both"/>
        <w:rPr>
          <w:color w:val="000000"/>
          <w:lang w:val="nl-NL"/>
        </w:rPr>
      </w:pPr>
      <w:r>
        <w:rPr>
          <w:color w:val="000000"/>
          <w:lang w:val="nl-NL"/>
        </w:rPr>
        <w:lastRenderedPageBreak/>
        <w:t>Điều 1</w:t>
      </w:r>
      <w:r w:rsidR="004C368A">
        <w:rPr>
          <w:color w:val="000000"/>
          <w:lang w:val="nl-NL"/>
        </w:rPr>
        <w:t>.</w:t>
      </w:r>
      <w:r>
        <w:rPr>
          <w:color w:val="000000"/>
          <w:lang w:val="nl-NL"/>
        </w:rPr>
        <w:t xml:space="preserve"> </w:t>
      </w:r>
      <w:r w:rsidR="00D41159">
        <w:rPr>
          <w:color w:val="000000"/>
          <w:lang w:val="nl-NL"/>
        </w:rPr>
        <w:t xml:space="preserve">Quy định định mức cụ thể về hệ số lương, cấp bậc kỹ thuật và các chi phí P2, P3, P5, P6, P7, P8, P9, P11 trong giao rừng, cho thuê rừng trên địa bàn tỉnh Tuyên Quang </w:t>
      </w:r>
      <w:r w:rsidR="00D41159">
        <w:rPr>
          <w:bCs/>
          <w:iCs/>
          <w:color w:val="000000"/>
          <w:lang w:val="nl-NL"/>
        </w:rPr>
        <w:t>(có Quy định kèm theo).</w:t>
      </w:r>
    </w:p>
    <w:p w14:paraId="38805DB0" w14:textId="77777777" w:rsidR="00D41159" w:rsidRDefault="00D41159" w:rsidP="00126EB7">
      <w:pPr>
        <w:spacing w:before="120"/>
        <w:ind w:firstLine="709"/>
        <w:jc w:val="both"/>
        <w:rPr>
          <w:color w:val="000000"/>
          <w:lang w:val="nl-NL"/>
        </w:rPr>
      </w:pPr>
      <w:r>
        <w:rPr>
          <w:color w:val="000000"/>
          <w:lang w:val="nl-NL"/>
        </w:rPr>
        <w:t>Điều 2. Hiệu lực thi hành.</w:t>
      </w:r>
    </w:p>
    <w:p w14:paraId="2F970314" w14:textId="77777777" w:rsidR="00D41159" w:rsidRDefault="00D41159" w:rsidP="00126EB7">
      <w:pPr>
        <w:spacing w:before="120"/>
        <w:ind w:firstLine="709"/>
        <w:jc w:val="both"/>
        <w:rPr>
          <w:color w:val="000000"/>
          <w:lang w:val="pt-BR"/>
        </w:rPr>
      </w:pPr>
      <w:r>
        <w:rPr>
          <w:color w:val="000000"/>
          <w:lang w:val="nl-NL"/>
        </w:rPr>
        <w:t xml:space="preserve">Điều 3. </w:t>
      </w:r>
      <w:r>
        <w:rPr>
          <w:color w:val="000000"/>
          <w:lang w:val="pt-BR"/>
        </w:rPr>
        <w:t>Tổ chức thực hiện.</w:t>
      </w:r>
    </w:p>
    <w:p w14:paraId="539FDDD8" w14:textId="77777777" w:rsidR="00A55B13" w:rsidRDefault="009A3329" w:rsidP="00126EB7">
      <w:pPr>
        <w:spacing w:before="120"/>
        <w:ind w:firstLine="709"/>
        <w:jc w:val="both"/>
        <w:rPr>
          <w:b/>
          <w:color w:val="000000"/>
          <w:lang w:val="nl-NL"/>
        </w:rPr>
      </w:pPr>
      <w:r>
        <w:rPr>
          <w:b/>
          <w:color w:val="000000"/>
          <w:lang w:val="nl-NL"/>
        </w:rPr>
        <w:t>3</w:t>
      </w:r>
      <w:r w:rsidR="0003355B">
        <w:rPr>
          <w:b/>
          <w:color w:val="000000"/>
          <w:lang w:val="nl-NL"/>
        </w:rPr>
        <w:t>. Nội dung cơ bản</w:t>
      </w:r>
    </w:p>
    <w:p w14:paraId="64B7D74E" w14:textId="77777777" w:rsidR="00D41159" w:rsidRDefault="00D41159" w:rsidP="00126EB7">
      <w:pPr>
        <w:spacing w:before="120"/>
        <w:ind w:firstLine="709"/>
        <w:jc w:val="both"/>
        <w:rPr>
          <w:bCs/>
          <w:iCs/>
          <w:color w:val="000000"/>
          <w:lang w:val="nl-NL"/>
        </w:rPr>
      </w:pPr>
      <w:r>
        <w:rPr>
          <w:bCs/>
          <w:iCs/>
          <w:color w:val="000000"/>
          <w:lang w:val="nl-NL"/>
        </w:rPr>
        <w:t>Quyết định quy định về hệ số lương, cấp bậc kỹ thuật, các chi phí thực hiện dự án/nhiệm vụ giao rừng, cho thuê rừng, cụ thể:</w:t>
      </w:r>
    </w:p>
    <w:p w14:paraId="4D929F55" w14:textId="40CAC0DD" w:rsidR="004266E7" w:rsidRPr="004266E7" w:rsidRDefault="004266E7" w:rsidP="00126EB7">
      <w:pPr>
        <w:spacing w:before="120"/>
        <w:ind w:firstLine="709"/>
        <w:jc w:val="both"/>
        <w:rPr>
          <w:bCs/>
          <w:iCs/>
          <w:lang w:val="nl-NL"/>
        </w:rPr>
      </w:pPr>
      <w:r>
        <w:rPr>
          <w:bCs/>
          <w:iCs/>
          <w:color w:val="000000"/>
          <w:lang w:val="nl-NL"/>
        </w:rPr>
        <w:t>a) Hệ số lương, cấp bậc kỹ thuật áp dụng để thực hiện công việc: Xây dựng kế hoạch, công tác ngoại nghiệp, công tác nội nghiệp</w:t>
      </w:r>
      <w:r w:rsidRPr="004266E7">
        <w:rPr>
          <w:bCs/>
          <w:iCs/>
          <w:lang w:val="nl-NL"/>
        </w:rPr>
        <w:t xml:space="preserve"> trong giao rừng, cho thuê rừng trên địa bàn tỉnh Tuyên Quang. </w:t>
      </w:r>
    </w:p>
    <w:p w14:paraId="0CF752FA" w14:textId="6B1F6965" w:rsidR="004266E7" w:rsidRPr="004266E7" w:rsidRDefault="004266E7" w:rsidP="00126EB7">
      <w:pPr>
        <w:spacing w:before="120"/>
        <w:ind w:firstLine="709"/>
        <w:jc w:val="both"/>
        <w:rPr>
          <w:bCs/>
          <w:iCs/>
          <w:lang w:val="nl-NL"/>
        </w:rPr>
      </w:pPr>
      <w:r w:rsidRPr="004266E7">
        <w:rPr>
          <w:bCs/>
          <w:iCs/>
          <w:lang w:val="nl-NL"/>
        </w:rPr>
        <w:t>b) Các chi phí khác gồm</w:t>
      </w:r>
      <w:r>
        <w:rPr>
          <w:bCs/>
          <w:iCs/>
          <w:lang w:val="nl-NL"/>
        </w:rPr>
        <w:t>:</w:t>
      </w:r>
      <w:r w:rsidRPr="004266E7">
        <w:rPr>
          <w:bCs/>
          <w:iCs/>
          <w:lang w:val="nl-NL"/>
        </w:rPr>
        <w:t xml:space="preserve"> P2, P3, P5, P6, P7, P8, P9, P11. Trong đó: </w:t>
      </w:r>
    </w:p>
    <w:p w14:paraId="07370529" w14:textId="77777777" w:rsidR="004266E7" w:rsidRPr="004266E7" w:rsidRDefault="004266E7" w:rsidP="00126EB7">
      <w:pPr>
        <w:spacing w:before="120"/>
        <w:ind w:firstLine="709"/>
        <w:jc w:val="both"/>
        <w:rPr>
          <w:bCs/>
          <w:iCs/>
          <w:lang w:val="nl-NL"/>
        </w:rPr>
      </w:pPr>
      <w:r w:rsidRPr="004266E7">
        <w:rPr>
          <w:bCs/>
          <w:iCs/>
          <w:lang w:val="nl-NL"/>
        </w:rPr>
        <w:t xml:space="preserve">- P2: Tiền công kiểm tra, nghiệm thu ngoại nghiệp; </w:t>
      </w:r>
    </w:p>
    <w:p w14:paraId="64CD9C2E" w14:textId="77777777" w:rsidR="004266E7" w:rsidRPr="004266E7" w:rsidRDefault="004266E7" w:rsidP="00126EB7">
      <w:pPr>
        <w:spacing w:before="120"/>
        <w:ind w:firstLine="709"/>
        <w:jc w:val="both"/>
        <w:rPr>
          <w:bCs/>
          <w:iCs/>
          <w:lang w:val="nl-NL"/>
        </w:rPr>
      </w:pPr>
      <w:r w:rsidRPr="004266E7">
        <w:rPr>
          <w:bCs/>
          <w:iCs/>
          <w:lang w:val="nl-NL"/>
        </w:rPr>
        <w:t xml:space="preserve">- P3: Chi phí công làm lán trại; </w:t>
      </w:r>
    </w:p>
    <w:p w14:paraId="3EED89F2" w14:textId="77777777" w:rsidR="004266E7" w:rsidRPr="004266E7" w:rsidRDefault="004266E7" w:rsidP="00126EB7">
      <w:pPr>
        <w:spacing w:before="120"/>
        <w:ind w:firstLine="709"/>
        <w:jc w:val="both"/>
        <w:rPr>
          <w:bCs/>
          <w:iCs/>
          <w:lang w:val="nl-NL"/>
        </w:rPr>
      </w:pPr>
      <w:r w:rsidRPr="004266E7">
        <w:rPr>
          <w:bCs/>
          <w:iCs/>
          <w:lang w:val="nl-NL"/>
        </w:rPr>
        <w:t xml:space="preserve">- P5: Tiền công nghiệm thu nội nghiệp; </w:t>
      </w:r>
    </w:p>
    <w:p w14:paraId="39D1DEB5" w14:textId="77777777" w:rsidR="004266E7" w:rsidRDefault="004266E7" w:rsidP="00126EB7">
      <w:pPr>
        <w:spacing w:before="120"/>
        <w:ind w:firstLine="709"/>
        <w:jc w:val="both"/>
        <w:rPr>
          <w:bCs/>
          <w:iCs/>
        </w:rPr>
      </w:pPr>
      <w:r w:rsidRPr="00ED0F1F">
        <w:rPr>
          <w:bCs/>
          <w:iCs/>
        </w:rPr>
        <w:t xml:space="preserve">- P6: Chi phí phục vụ; </w:t>
      </w:r>
    </w:p>
    <w:p w14:paraId="43599EC5" w14:textId="77777777" w:rsidR="004266E7" w:rsidRDefault="004266E7" w:rsidP="00126EB7">
      <w:pPr>
        <w:spacing w:before="120"/>
        <w:ind w:firstLine="709"/>
        <w:jc w:val="both"/>
        <w:rPr>
          <w:bCs/>
          <w:iCs/>
        </w:rPr>
      </w:pPr>
      <w:r w:rsidRPr="00ED0F1F">
        <w:rPr>
          <w:bCs/>
          <w:iCs/>
        </w:rPr>
        <w:t xml:space="preserve">- P7: Chi phí quản lý của đơn vị thực hiện; </w:t>
      </w:r>
    </w:p>
    <w:p w14:paraId="602CBD50" w14:textId="77777777" w:rsidR="004266E7" w:rsidRDefault="004266E7" w:rsidP="00126EB7">
      <w:pPr>
        <w:spacing w:before="120"/>
        <w:ind w:firstLine="709"/>
        <w:jc w:val="both"/>
        <w:rPr>
          <w:bCs/>
          <w:iCs/>
        </w:rPr>
      </w:pPr>
      <w:r w:rsidRPr="00ED0F1F">
        <w:rPr>
          <w:bCs/>
          <w:iCs/>
        </w:rPr>
        <w:t xml:space="preserve">- P8: Chi phí máy móc, thiết bị; </w:t>
      </w:r>
    </w:p>
    <w:p w14:paraId="2F67866C" w14:textId="77777777" w:rsidR="004266E7" w:rsidRDefault="004266E7" w:rsidP="00126EB7">
      <w:pPr>
        <w:spacing w:before="120"/>
        <w:ind w:firstLine="709"/>
        <w:jc w:val="both"/>
        <w:rPr>
          <w:bCs/>
          <w:iCs/>
        </w:rPr>
      </w:pPr>
      <w:r w:rsidRPr="00ED0F1F">
        <w:rPr>
          <w:bCs/>
          <w:iCs/>
        </w:rPr>
        <w:t xml:space="preserve">- P9: Chi phí vật tư, dụng cụ, điện nước thông tin liên lạc; </w:t>
      </w:r>
    </w:p>
    <w:p w14:paraId="319CA757" w14:textId="77777777" w:rsidR="004266E7" w:rsidRPr="00ED0F1F" w:rsidRDefault="004266E7" w:rsidP="00126EB7">
      <w:pPr>
        <w:spacing w:before="120"/>
        <w:ind w:firstLine="709"/>
        <w:jc w:val="both"/>
        <w:rPr>
          <w:bCs/>
          <w:iCs/>
        </w:rPr>
      </w:pPr>
      <w:r w:rsidRPr="00ED0F1F">
        <w:rPr>
          <w:bCs/>
          <w:iCs/>
        </w:rPr>
        <w:t>- P11: Thu nhập chịu thuế tính trước.</w:t>
      </w:r>
    </w:p>
    <w:p w14:paraId="4BF6EDFF" w14:textId="5CA508E6" w:rsidR="00FD6DC1" w:rsidRPr="002832DC" w:rsidRDefault="009821D9" w:rsidP="00126EB7">
      <w:pPr>
        <w:spacing w:before="120"/>
        <w:ind w:firstLine="709"/>
        <w:jc w:val="both"/>
        <w:rPr>
          <w:rFonts w:ascii="Times New Roman Bold" w:hAnsi="Times New Roman Bold"/>
          <w:b/>
          <w:lang w:val="pt-BR"/>
        </w:rPr>
      </w:pPr>
      <w:r w:rsidRPr="002832DC">
        <w:rPr>
          <w:rFonts w:ascii="Times New Roman Bold" w:hAnsi="Times New Roman Bold"/>
          <w:b/>
          <w:lang w:val="pt-BR"/>
        </w:rPr>
        <w:t>V</w:t>
      </w:r>
      <w:r w:rsidR="00FD6DC1" w:rsidRPr="002832DC">
        <w:rPr>
          <w:rFonts w:ascii="Times New Roman Bold" w:hAnsi="Times New Roman Bold"/>
          <w:b/>
          <w:lang w:val="pt-BR"/>
        </w:rPr>
        <w:t xml:space="preserve">. </w:t>
      </w:r>
      <w:r w:rsidR="00941A1C" w:rsidRPr="002832DC">
        <w:rPr>
          <w:rFonts w:ascii="Times New Roman Bold" w:hAnsi="Times New Roman Bold"/>
          <w:b/>
          <w:lang w:val="pt-BR"/>
        </w:rPr>
        <w:t>DỰ KIẾN NGUỒN LỰC, ĐIỀU KIỆN BẢO ĐẢM CHO VIỆC THI HÀNH VĂN BẢN VÀ THỜI GIAN TRÌNH BAN HÀNH</w:t>
      </w:r>
    </w:p>
    <w:p w14:paraId="22914BB3" w14:textId="77777777" w:rsidR="00941A1C" w:rsidRPr="00941A1C" w:rsidRDefault="00941A1C" w:rsidP="00126EB7">
      <w:pPr>
        <w:pStyle w:val="NormalWeb"/>
        <w:shd w:val="clear" w:color="auto" w:fill="FFFFFF"/>
        <w:spacing w:before="120" w:beforeAutospacing="0" w:after="0" w:afterAutospacing="0"/>
        <w:ind w:firstLine="709"/>
        <w:jc w:val="both"/>
        <w:rPr>
          <w:bCs/>
          <w:iCs/>
          <w:sz w:val="28"/>
          <w:szCs w:val="28"/>
          <w:lang w:val="nl-NL"/>
        </w:rPr>
      </w:pPr>
      <w:r w:rsidRPr="00941A1C">
        <w:rPr>
          <w:bCs/>
          <w:iCs/>
          <w:sz w:val="28"/>
          <w:szCs w:val="28"/>
          <w:lang w:val="nl-NL"/>
        </w:rPr>
        <w:t>1. Dự kiến nguồn lực, điều kiện đảm bảo cho việc thi hành Quyết định: Quyết định ban hành không phát sinh kinh phí.</w:t>
      </w:r>
    </w:p>
    <w:p w14:paraId="3B11D982" w14:textId="56C3DFDA" w:rsidR="00941A1C" w:rsidRPr="00941A1C" w:rsidRDefault="00941A1C" w:rsidP="00126EB7">
      <w:pPr>
        <w:pStyle w:val="NormalWeb"/>
        <w:shd w:val="clear" w:color="auto" w:fill="FFFFFF"/>
        <w:spacing w:before="120" w:beforeAutospacing="0" w:after="0" w:afterAutospacing="0"/>
        <w:ind w:firstLine="709"/>
        <w:jc w:val="both"/>
        <w:rPr>
          <w:bCs/>
          <w:iCs/>
          <w:sz w:val="28"/>
          <w:szCs w:val="28"/>
          <w:lang w:val="nl-NL"/>
        </w:rPr>
      </w:pPr>
      <w:r w:rsidRPr="00941A1C">
        <w:rPr>
          <w:bCs/>
          <w:iCs/>
          <w:sz w:val="28"/>
          <w:szCs w:val="28"/>
          <w:lang w:val="nl-NL"/>
        </w:rPr>
        <w:t xml:space="preserve">2. Thời gian trình ban hành: </w:t>
      </w:r>
      <w:r w:rsidR="004266E7" w:rsidRPr="004266E7">
        <w:rPr>
          <w:bCs/>
          <w:iCs/>
          <w:sz w:val="28"/>
          <w:szCs w:val="28"/>
          <w:lang w:val="nl-NL"/>
        </w:rPr>
        <w:t>Trước ngày 01/8/2026.</w:t>
      </w:r>
    </w:p>
    <w:p w14:paraId="54978DFE" w14:textId="3D55A71E" w:rsidR="007D6E44" w:rsidRPr="005862E5" w:rsidRDefault="00B62BFC" w:rsidP="00126EB7">
      <w:pPr>
        <w:pStyle w:val="NormalWeb"/>
        <w:spacing w:before="120" w:beforeAutospacing="0" w:after="0" w:afterAutospacing="0"/>
        <w:ind w:firstLine="709"/>
        <w:jc w:val="both"/>
        <w:rPr>
          <w:bCs/>
          <w:sz w:val="28"/>
          <w:szCs w:val="28"/>
          <w:lang w:val="nl-NL"/>
        </w:rPr>
      </w:pPr>
      <w:r w:rsidRPr="003C0C9D">
        <w:rPr>
          <w:bCs/>
          <w:sz w:val="28"/>
          <w:szCs w:val="28"/>
          <w:lang w:val="nl-NL"/>
        </w:rPr>
        <w:t xml:space="preserve">Trên đây là Tờ trình </w:t>
      </w:r>
      <w:r w:rsidR="00E41E62" w:rsidRPr="00F724C7">
        <w:rPr>
          <w:sz w:val="28"/>
          <w:szCs w:val="28"/>
          <w:lang w:val="pt-BR"/>
        </w:rPr>
        <w:t>d</w:t>
      </w:r>
      <w:r w:rsidR="00BD6241" w:rsidRPr="00F724C7">
        <w:rPr>
          <w:sz w:val="28"/>
          <w:szCs w:val="28"/>
          <w:lang w:val="pt-BR"/>
        </w:rPr>
        <w:t xml:space="preserve">ự thảo </w:t>
      </w:r>
      <w:r w:rsidR="004266E7" w:rsidRPr="004266E7">
        <w:rPr>
          <w:sz w:val="28"/>
          <w:szCs w:val="28"/>
          <w:lang w:val="pt-BR"/>
        </w:rPr>
        <w:t>Quyết định của Chủ tịch Ủy ban nhân dân tỉnh Quy định định mức cụ thể về hệ số lương, cấp bậc kỹ thuật và các chi phí P2, P3, P5, P6, P7, P8, P9, P11 trong giao rừng, cho thuê rừng trên địa bàn tỉnh Tuyên Quang</w:t>
      </w:r>
      <w:r w:rsidR="005D4BDD">
        <w:rPr>
          <w:bCs/>
          <w:sz w:val="28"/>
          <w:szCs w:val="28"/>
          <w:lang w:val="nl-NL"/>
        </w:rPr>
        <w:t>.</w:t>
      </w:r>
      <w:r w:rsidR="004266E7">
        <w:rPr>
          <w:bCs/>
          <w:sz w:val="28"/>
          <w:szCs w:val="28"/>
          <w:lang w:val="nl-NL"/>
        </w:rPr>
        <w:t xml:space="preserve"> </w:t>
      </w:r>
    </w:p>
    <w:p w14:paraId="286EE507" w14:textId="77777777" w:rsidR="00D41159" w:rsidRDefault="00D41159" w:rsidP="00126EB7">
      <w:pPr>
        <w:pStyle w:val="NormalWeb"/>
        <w:spacing w:before="120" w:beforeAutospacing="0" w:after="0" w:afterAutospacing="0"/>
        <w:ind w:firstLine="709"/>
        <w:jc w:val="both"/>
        <w:rPr>
          <w:bCs/>
          <w:i/>
          <w:iCs/>
          <w:sz w:val="28"/>
          <w:szCs w:val="28"/>
          <w:lang w:val="nl-NL"/>
        </w:rPr>
      </w:pPr>
      <w:r w:rsidRPr="00D41159">
        <w:rPr>
          <w:bCs/>
          <w:i/>
          <w:iCs/>
          <w:sz w:val="28"/>
          <w:szCs w:val="28"/>
          <w:lang w:val="nl-NL"/>
        </w:rPr>
        <w:t>(Xin gửi kèm theo: (1) Dự thảo Quyết định của Chủ tịch Uỷ ban nhân dân tỉnh; (2) Thuyết minh về việc lựa chọn hệ số lương, cấp bậc kỹ thuật và các chi phí;  (3) Báo cáo của Sở Nông nghiệp và Môi trường về việc tiếp thu, giải trình ý kiến tham gia của các cơ quan, đơn vị; (4) Báo cáo thẩm định số .../BC-STP ngày ../.../2026 của Sở Tư pháp; (5) Báo cáo của Sở Nông nghiệp và Môi trường về việc tiếp thu, giải trình ý kiến thẩm định của Sở Tư pháp. (6) Tổng hợp ý kiến tham gia của Sở Tư pháp và các cơ quan, đơn vị.).</w:t>
      </w:r>
    </w:p>
    <w:p w14:paraId="73C0DE1F" w14:textId="31B5D9BD" w:rsidR="005D4BDD" w:rsidRPr="005862E5" w:rsidRDefault="005D4BDD" w:rsidP="00126EB7">
      <w:pPr>
        <w:pStyle w:val="NormalWeb"/>
        <w:spacing w:before="120" w:beforeAutospacing="0" w:after="0" w:afterAutospacing="0"/>
        <w:ind w:firstLine="709"/>
        <w:jc w:val="both"/>
        <w:rPr>
          <w:bCs/>
          <w:i/>
          <w:iCs/>
          <w:sz w:val="28"/>
          <w:szCs w:val="28"/>
          <w:lang w:val="nl-NL"/>
        </w:rPr>
      </w:pPr>
      <w:r>
        <w:rPr>
          <w:bCs/>
          <w:sz w:val="28"/>
          <w:szCs w:val="28"/>
          <w:lang w:val="nl-NL"/>
        </w:rPr>
        <w:lastRenderedPageBreak/>
        <w:t xml:space="preserve">Sở </w:t>
      </w:r>
      <w:r w:rsidRPr="004266E7">
        <w:rPr>
          <w:bCs/>
          <w:sz w:val="28"/>
          <w:szCs w:val="28"/>
          <w:lang w:val="nl-NL"/>
        </w:rPr>
        <w:t>Nông nghiệp và Môi trường</w:t>
      </w:r>
      <w:r w:rsidR="00F439F7">
        <w:rPr>
          <w:bCs/>
          <w:sz w:val="28"/>
          <w:szCs w:val="28"/>
          <w:lang w:val="nl-NL"/>
        </w:rPr>
        <w:t xml:space="preserve"> trân trọng báo cáo và</w:t>
      </w:r>
      <w:r w:rsidRPr="004266E7">
        <w:rPr>
          <w:bCs/>
          <w:sz w:val="28"/>
          <w:szCs w:val="28"/>
          <w:lang w:val="nl-NL"/>
        </w:rPr>
        <w:t xml:space="preserve"> </w:t>
      </w:r>
      <w:r>
        <w:rPr>
          <w:bCs/>
          <w:sz w:val="28"/>
          <w:szCs w:val="28"/>
          <w:lang w:val="nl-NL"/>
        </w:rPr>
        <w:t>xin kính trình</w:t>
      </w:r>
      <w:r w:rsidR="007C6739">
        <w:rPr>
          <w:bCs/>
          <w:sz w:val="28"/>
          <w:szCs w:val="28"/>
          <w:lang w:val="nl-NL"/>
        </w:rPr>
        <w:t xml:space="preserve"> Chủ tịch</w:t>
      </w:r>
      <w:r>
        <w:rPr>
          <w:bCs/>
          <w:sz w:val="28"/>
          <w:szCs w:val="28"/>
          <w:lang w:val="nl-NL"/>
        </w:rPr>
        <w:t xml:space="preserve"> </w:t>
      </w:r>
      <w:r w:rsidRPr="004266E7">
        <w:rPr>
          <w:bCs/>
          <w:sz w:val="28"/>
          <w:szCs w:val="28"/>
          <w:lang w:val="nl-NL"/>
        </w:rPr>
        <w:t xml:space="preserve">Ủy ban nhân dân tỉnh xem xét, </w:t>
      </w:r>
      <w:r w:rsidRPr="005862E5">
        <w:rPr>
          <w:bCs/>
          <w:sz w:val="28"/>
          <w:szCs w:val="28"/>
          <w:lang w:val="nl-NL"/>
        </w:rPr>
        <w:t>quyết định./.</w:t>
      </w:r>
    </w:p>
    <w:p w14:paraId="1E5EDF56" w14:textId="20FEB7F8" w:rsidR="00B3085F" w:rsidRPr="00F724C7" w:rsidRDefault="00B3085F" w:rsidP="00CC5A91">
      <w:pPr>
        <w:pStyle w:val="NormalWeb"/>
        <w:spacing w:before="80" w:beforeAutospacing="0" w:after="0" w:afterAutospacing="0"/>
        <w:ind w:firstLine="709"/>
        <w:jc w:val="both"/>
        <w:rPr>
          <w:bCs/>
          <w:i/>
          <w:iCs/>
          <w:sz w:val="28"/>
          <w:szCs w:val="28"/>
          <w:lang w:val="nl-NL"/>
        </w:rPr>
      </w:pPr>
    </w:p>
    <w:tbl>
      <w:tblPr>
        <w:tblW w:w="0" w:type="auto"/>
        <w:tblLook w:val="01E0" w:firstRow="1" w:lastRow="1" w:firstColumn="1" w:lastColumn="1" w:noHBand="0" w:noVBand="0"/>
      </w:tblPr>
      <w:tblGrid>
        <w:gridCol w:w="4786"/>
        <w:gridCol w:w="4502"/>
      </w:tblGrid>
      <w:tr w:rsidR="00416581" w:rsidRPr="00FC1C21" w14:paraId="242A0F83" w14:textId="77777777" w:rsidTr="005367B4">
        <w:trPr>
          <w:trHeight w:val="2416"/>
        </w:trPr>
        <w:tc>
          <w:tcPr>
            <w:tcW w:w="4786" w:type="dxa"/>
          </w:tcPr>
          <w:p w14:paraId="61DBC729" w14:textId="77777777" w:rsidR="00416581" w:rsidRPr="00F724C7" w:rsidRDefault="00E43306" w:rsidP="00175D50">
            <w:pPr>
              <w:jc w:val="both"/>
              <w:rPr>
                <w:b/>
                <w:i/>
                <w:sz w:val="24"/>
                <w:lang w:val="nl-NL"/>
              </w:rPr>
            </w:pPr>
            <w:r w:rsidRPr="00F724C7">
              <w:rPr>
                <w:lang w:val="nl-NL"/>
              </w:rPr>
              <w:t xml:space="preserve"> </w:t>
            </w:r>
            <w:r w:rsidR="00416581" w:rsidRPr="00F724C7">
              <w:rPr>
                <w:b/>
                <w:i/>
                <w:sz w:val="24"/>
                <w:lang w:val="nl-NL"/>
              </w:rPr>
              <w:t>Nơi nhận:</w:t>
            </w:r>
          </w:p>
          <w:p w14:paraId="4774672E" w14:textId="21E17B7D" w:rsidR="00416581" w:rsidRPr="00245962" w:rsidRDefault="00811A04" w:rsidP="00E43306">
            <w:pPr>
              <w:jc w:val="both"/>
              <w:rPr>
                <w:sz w:val="22"/>
                <w:lang w:val="nl-NL"/>
              </w:rPr>
            </w:pPr>
            <w:r w:rsidRPr="00F724C7">
              <w:rPr>
                <w:sz w:val="22"/>
                <w:lang w:val="nl-NL"/>
              </w:rPr>
              <w:t xml:space="preserve">- </w:t>
            </w:r>
            <w:r w:rsidR="00542DAF" w:rsidRPr="00245962">
              <w:rPr>
                <w:sz w:val="22"/>
                <w:lang w:val="nl-NL"/>
              </w:rPr>
              <w:t xml:space="preserve">Như </w:t>
            </w:r>
            <w:r w:rsidR="00865761">
              <w:rPr>
                <w:sz w:val="22"/>
                <w:lang w:val="nl-NL"/>
              </w:rPr>
              <w:t>kính gửi (kính trình)</w:t>
            </w:r>
            <w:r w:rsidR="00416581" w:rsidRPr="00245962">
              <w:rPr>
                <w:sz w:val="22"/>
                <w:lang w:val="nl-NL"/>
              </w:rPr>
              <w:t>;</w:t>
            </w:r>
          </w:p>
          <w:p w14:paraId="43EECC84" w14:textId="77777777" w:rsidR="009A31D2" w:rsidRPr="00F724C7" w:rsidRDefault="009A31D2" w:rsidP="00E43306">
            <w:pPr>
              <w:jc w:val="both"/>
              <w:rPr>
                <w:sz w:val="22"/>
                <w:lang w:val="nl-NL"/>
              </w:rPr>
            </w:pPr>
            <w:r w:rsidRPr="00F724C7">
              <w:rPr>
                <w:sz w:val="22"/>
                <w:lang w:val="nl-NL"/>
              </w:rPr>
              <w:t>- Sở Tư pháp;</w:t>
            </w:r>
          </w:p>
          <w:p w14:paraId="3B28ABF6" w14:textId="062A9F91" w:rsidR="00BD6241" w:rsidRPr="00F724C7" w:rsidRDefault="00BD6241" w:rsidP="00E43306">
            <w:pPr>
              <w:jc w:val="both"/>
              <w:rPr>
                <w:sz w:val="22"/>
                <w:lang w:val="nl-NL"/>
              </w:rPr>
            </w:pPr>
            <w:r w:rsidRPr="00F724C7">
              <w:rPr>
                <w:sz w:val="22"/>
                <w:lang w:val="nl-NL"/>
              </w:rPr>
              <w:t>- Giám đốc Sở</w:t>
            </w:r>
            <w:r w:rsidR="005D4BDD">
              <w:rPr>
                <w:sz w:val="22"/>
                <w:lang w:val="nl-NL"/>
              </w:rPr>
              <w:t xml:space="preserve"> (báo cáo)</w:t>
            </w:r>
            <w:r w:rsidRPr="00F724C7">
              <w:rPr>
                <w:sz w:val="22"/>
                <w:lang w:val="nl-NL"/>
              </w:rPr>
              <w:t>;</w:t>
            </w:r>
          </w:p>
          <w:p w14:paraId="2259C533" w14:textId="77777777" w:rsidR="00BD6241" w:rsidRPr="00F724C7" w:rsidRDefault="00BD6241" w:rsidP="00E43306">
            <w:pPr>
              <w:jc w:val="both"/>
              <w:rPr>
                <w:sz w:val="22"/>
                <w:lang w:val="nl-NL"/>
              </w:rPr>
            </w:pPr>
            <w:r w:rsidRPr="00F724C7">
              <w:rPr>
                <w:sz w:val="22"/>
                <w:lang w:val="nl-NL"/>
              </w:rPr>
              <w:t>- Các Phó Giám đốc Sở;</w:t>
            </w:r>
          </w:p>
          <w:p w14:paraId="72B618A2" w14:textId="0D3D7375" w:rsidR="005862E5" w:rsidRDefault="005862E5" w:rsidP="00E43306">
            <w:pPr>
              <w:jc w:val="both"/>
              <w:rPr>
                <w:sz w:val="22"/>
                <w:lang w:val="nl-NL"/>
              </w:rPr>
            </w:pPr>
            <w:r w:rsidRPr="005862E5">
              <w:rPr>
                <w:sz w:val="22"/>
                <w:lang w:val="nl-NL"/>
              </w:rPr>
              <w:t>- Phòng KHTC</w:t>
            </w:r>
            <w:r w:rsidR="00EF7890">
              <w:rPr>
                <w:sz w:val="22"/>
                <w:lang w:val="nl-NL"/>
              </w:rPr>
              <w:t xml:space="preserve"> Sở</w:t>
            </w:r>
            <w:r w:rsidRPr="005862E5">
              <w:rPr>
                <w:sz w:val="22"/>
                <w:lang w:val="nl-NL"/>
              </w:rPr>
              <w:t>;</w:t>
            </w:r>
          </w:p>
          <w:p w14:paraId="68EEFE48" w14:textId="567F4389" w:rsidR="0055550C" w:rsidRDefault="0055550C" w:rsidP="00E43306">
            <w:pPr>
              <w:jc w:val="both"/>
              <w:rPr>
                <w:sz w:val="22"/>
                <w:lang w:val="nl-NL"/>
              </w:rPr>
            </w:pPr>
            <w:r w:rsidRPr="00F724C7">
              <w:rPr>
                <w:sz w:val="22"/>
                <w:lang w:val="nl-NL"/>
              </w:rPr>
              <w:t>- Văn phòng Sở;</w:t>
            </w:r>
          </w:p>
          <w:p w14:paraId="6B4EC2CC" w14:textId="44A21736" w:rsidR="00EF7890" w:rsidRPr="00F724C7" w:rsidRDefault="00EF7890" w:rsidP="00E43306">
            <w:pPr>
              <w:jc w:val="both"/>
              <w:rPr>
                <w:sz w:val="22"/>
                <w:lang w:val="nl-NL"/>
              </w:rPr>
            </w:pPr>
            <w:r>
              <w:rPr>
                <w:sz w:val="22"/>
                <w:lang w:val="nl-NL"/>
              </w:rPr>
              <w:t>- Chi cục Kiểm lâm;</w:t>
            </w:r>
          </w:p>
          <w:p w14:paraId="4E4BB49B" w14:textId="1B51DA8A" w:rsidR="00416581" w:rsidRPr="005862E5" w:rsidRDefault="00E41E62" w:rsidP="00E41E62">
            <w:pPr>
              <w:jc w:val="both"/>
              <w:rPr>
                <w:sz w:val="24"/>
                <w:lang w:val="nl-NL"/>
              </w:rPr>
            </w:pPr>
            <w:r w:rsidRPr="005862E5">
              <w:rPr>
                <w:sz w:val="22"/>
                <w:lang w:val="nl-NL"/>
              </w:rPr>
              <w:t>- Lưu: VT</w:t>
            </w:r>
            <w:r w:rsidR="00416581" w:rsidRPr="005862E5">
              <w:rPr>
                <w:sz w:val="22"/>
                <w:lang w:val="nl-NL"/>
              </w:rPr>
              <w:t>.</w:t>
            </w:r>
          </w:p>
        </w:tc>
        <w:tc>
          <w:tcPr>
            <w:tcW w:w="4502" w:type="dxa"/>
          </w:tcPr>
          <w:p w14:paraId="495C8A35" w14:textId="77777777" w:rsidR="00416581" w:rsidRPr="005862E5" w:rsidRDefault="00416581" w:rsidP="00175D50">
            <w:pPr>
              <w:jc w:val="center"/>
              <w:rPr>
                <w:b/>
                <w:lang w:val="nl-NL"/>
              </w:rPr>
            </w:pPr>
            <w:r w:rsidRPr="005862E5">
              <w:rPr>
                <w:b/>
                <w:lang w:val="nl-NL"/>
              </w:rPr>
              <w:t>GIÁM ĐỐC</w:t>
            </w:r>
          </w:p>
          <w:p w14:paraId="7E2EDC4E" w14:textId="77777777" w:rsidR="00B13D90" w:rsidRPr="005862E5" w:rsidRDefault="00B13D90" w:rsidP="00175D50">
            <w:pPr>
              <w:jc w:val="center"/>
              <w:rPr>
                <w:b/>
                <w:lang w:val="nl-NL"/>
              </w:rPr>
            </w:pPr>
          </w:p>
          <w:p w14:paraId="66C6A05C" w14:textId="38A15AE4" w:rsidR="00CF220E" w:rsidRDefault="00CF220E" w:rsidP="00175D50">
            <w:pPr>
              <w:jc w:val="center"/>
              <w:rPr>
                <w:b/>
                <w:lang w:val="nl-NL"/>
              </w:rPr>
            </w:pPr>
          </w:p>
          <w:p w14:paraId="6D02C55B" w14:textId="77777777" w:rsidR="005A796C" w:rsidRPr="005862E5" w:rsidRDefault="005A796C" w:rsidP="003C0798">
            <w:pPr>
              <w:rPr>
                <w:b/>
                <w:lang w:val="nl-NL"/>
              </w:rPr>
            </w:pPr>
          </w:p>
          <w:p w14:paraId="1E5A2F65" w14:textId="77777777" w:rsidR="00B13D90" w:rsidRPr="005862E5" w:rsidRDefault="00B13D90" w:rsidP="00175D50">
            <w:pPr>
              <w:jc w:val="center"/>
              <w:rPr>
                <w:b/>
                <w:lang w:val="nl-NL"/>
              </w:rPr>
            </w:pPr>
          </w:p>
          <w:p w14:paraId="04D8E892" w14:textId="77777777" w:rsidR="00B13D90" w:rsidRPr="005862E5" w:rsidRDefault="00B13D90" w:rsidP="00175D50">
            <w:pPr>
              <w:jc w:val="center"/>
              <w:rPr>
                <w:b/>
                <w:lang w:val="nl-NL"/>
              </w:rPr>
            </w:pPr>
          </w:p>
          <w:p w14:paraId="105EE955" w14:textId="77777777" w:rsidR="00416581" w:rsidRPr="005862E5" w:rsidRDefault="00E41E62" w:rsidP="009E32BE">
            <w:pPr>
              <w:spacing w:before="120" w:after="40"/>
              <w:jc w:val="center"/>
              <w:rPr>
                <w:b/>
                <w:lang w:val="nl-NL"/>
              </w:rPr>
            </w:pPr>
            <w:r w:rsidRPr="005862E5">
              <w:rPr>
                <w:b/>
                <w:lang w:val="nl-NL"/>
              </w:rPr>
              <w:t>Phạm Mạnh Duyệt</w:t>
            </w:r>
          </w:p>
        </w:tc>
      </w:tr>
    </w:tbl>
    <w:p w14:paraId="7CA1DFD1" w14:textId="77777777" w:rsidR="008339F1" w:rsidRPr="005862E5" w:rsidRDefault="008339F1" w:rsidP="007D0F90">
      <w:pPr>
        <w:spacing w:before="120" w:after="120"/>
        <w:jc w:val="both"/>
        <w:rPr>
          <w:sz w:val="2"/>
          <w:lang w:val="nl-NL"/>
        </w:rPr>
      </w:pPr>
    </w:p>
    <w:sectPr w:rsidR="008339F1" w:rsidRPr="005862E5" w:rsidSect="005A164C">
      <w:head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4C8EB" w14:textId="77777777" w:rsidR="00F77C25" w:rsidRDefault="00F77C25" w:rsidP="007F63F8">
      <w:r>
        <w:separator/>
      </w:r>
    </w:p>
  </w:endnote>
  <w:endnote w:type="continuationSeparator" w:id="0">
    <w:p w14:paraId="1898880C" w14:textId="77777777" w:rsidR="00F77C25" w:rsidRDefault="00F77C25" w:rsidP="007F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Arial Narrow">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CE96" w14:textId="77777777" w:rsidR="00F77C25" w:rsidRDefault="00F77C25" w:rsidP="007F63F8">
      <w:r>
        <w:separator/>
      </w:r>
    </w:p>
  </w:footnote>
  <w:footnote w:type="continuationSeparator" w:id="0">
    <w:p w14:paraId="62D71C4D" w14:textId="77777777" w:rsidR="00F77C25" w:rsidRDefault="00F77C25" w:rsidP="007F6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604C" w14:textId="7EF6726D" w:rsidR="007F63F8" w:rsidRPr="00FA5809" w:rsidRDefault="007F63F8" w:rsidP="00FA5809">
    <w:pPr>
      <w:pStyle w:val="Header"/>
      <w:jc w:val="center"/>
      <w:rPr>
        <w:lang w:val="en-US"/>
      </w:rPr>
    </w:pPr>
    <w:r>
      <w:fldChar w:fldCharType="begin"/>
    </w:r>
    <w:r>
      <w:instrText xml:space="preserve"> PAGE   \* MERGEFORMAT </w:instrText>
    </w:r>
    <w:r>
      <w:fldChar w:fldCharType="separate"/>
    </w:r>
    <w:r w:rsidR="005205B6">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74D5"/>
    <w:multiLevelType w:val="hybridMultilevel"/>
    <w:tmpl w:val="19B2117C"/>
    <w:lvl w:ilvl="0" w:tplc="AF8AD126">
      <w:start w:val="1"/>
      <w:numFmt w:val="bullet"/>
      <w:lvlText w:val=""/>
      <w:lvlJc w:val="left"/>
      <w:pPr>
        <w:ind w:left="933" w:hanging="360"/>
      </w:pPr>
      <w:rPr>
        <w:rFonts w:ascii="Symbol" w:eastAsia="Times New Roman" w:hAnsi="Symbol" w:cs="Times New Roman"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1" w15:restartNumberingAfterBreak="0">
    <w:nsid w:val="233844C8"/>
    <w:multiLevelType w:val="hybridMultilevel"/>
    <w:tmpl w:val="8910C8AC"/>
    <w:lvl w:ilvl="0" w:tplc="88FE16BC">
      <w:start w:val="1"/>
      <w:numFmt w:val="bullet"/>
      <w:lvlText w:val=""/>
      <w:lvlJc w:val="left"/>
      <w:pPr>
        <w:ind w:left="1293" w:hanging="360"/>
      </w:pPr>
      <w:rPr>
        <w:rFonts w:ascii="Symbol" w:eastAsia="Times New Roman" w:hAnsi="Symbol" w:cs="Times New Roman"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2" w15:restartNumberingAfterBreak="0">
    <w:nsid w:val="392D3492"/>
    <w:multiLevelType w:val="hybridMultilevel"/>
    <w:tmpl w:val="EE663E10"/>
    <w:lvl w:ilvl="0" w:tplc="617E8D5E">
      <w:start w:val="1"/>
      <w:numFmt w:val="decimal"/>
      <w:lvlText w:val="%1."/>
      <w:lvlJc w:val="left"/>
      <w:pPr>
        <w:tabs>
          <w:tab w:val="num" w:pos="893"/>
        </w:tabs>
        <w:ind w:left="893" w:hanging="360"/>
      </w:pPr>
      <w:rPr>
        <w:rFonts w:hint="default"/>
      </w:rPr>
    </w:lvl>
    <w:lvl w:ilvl="1" w:tplc="04090019" w:tentative="1">
      <w:start w:val="1"/>
      <w:numFmt w:val="lowerLetter"/>
      <w:lvlText w:val="%2."/>
      <w:lvlJc w:val="left"/>
      <w:pPr>
        <w:tabs>
          <w:tab w:val="num" w:pos="1613"/>
        </w:tabs>
        <w:ind w:left="1613" w:hanging="360"/>
      </w:pPr>
    </w:lvl>
    <w:lvl w:ilvl="2" w:tplc="0409001B" w:tentative="1">
      <w:start w:val="1"/>
      <w:numFmt w:val="lowerRoman"/>
      <w:lvlText w:val="%3."/>
      <w:lvlJc w:val="right"/>
      <w:pPr>
        <w:tabs>
          <w:tab w:val="num" w:pos="2333"/>
        </w:tabs>
        <w:ind w:left="2333" w:hanging="180"/>
      </w:pPr>
    </w:lvl>
    <w:lvl w:ilvl="3" w:tplc="0409000F" w:tentative="1">
      <w:start w:val="1"/>
      <w:numFmt w:val="decimal"/>
      <w:lvlText w:val="%4."/>
      <w:lvlJc w:val="left"/>
      <w:pPr>
        <w:tabs>
          <w:tab w:val="num" w:pos="3053"/>
        </w:tabs>
        <w:ind w:left="3053" w:hanging="360"/>
      </w:pPr>
    </w:lvl>
    <w:lvl w:ilvl="4" w:tplc="04090019" w:tentative="1">
      <w:start w:val="1"/>
      <w:numFmt w:val="lowerLetter"/>
      <w:lvlText w:val="%5."/>
      <w:lvlJc w:val="left"/>
      <w:pPr>
        <w:tabs>
          <w:tab w:val="num" w:pos="3773"/>
        </w:tabs>
        <w:ind w:left="3773" w:hanging="360"/>
      </w:pPr>
    </w:lvl>
    <w:lvl w:ilvl="5" w:tplc="0409001B" w:tentative="1">
      <w:start w:val="1"/>
      <w:numFmt w:val="lowerRoman"/>
      <w:lvlText w:val="%6."/>
      <w:lvlJc w:val="right"/>
      <w:pPr>
        <w:tabs>
          <w:tab w:val="num" w:pos="4493"/>
        </w:tabs>
        <w:ind w:left="4493" w:hanging="180"/>
      </w:pPr>
    </w:lvl>
    <w:lvl w:ilvl="6" w:tplc="0409000F" w:tentative="1">
      <w:start w:val="1"/>
      <w:numFmt w:val="decimal"/>
      <w:lvlText w:val="%7."/>
      <w:lvlJc w:val="left"/>
      <w:pPr>
        <w:tabs>
          <w:tab w:val="num" w:pos="5213"/>
        </w:tabs>
        <w:ind w:left="5213" w:hanging="360"/>
      </w:pPr>
    </w:lvl>
    <w:lvl w:ilvl="7" w:tplc="04090019" w:tentative="1">
      <w:start w:val="1"/>
      <w:numFmt w:val="lowerLetter"/>
      <w:lvlText w:val="%8."/>
      <w:lvlJc w:val="left"/>
      <w:pPr>
        <w:tabs>
          <w:tab w:val="num" w:pos="5933"/>
        </w:tabs>
        <w:ind w:left="5933" w:hanging="360"/>
      </w:pPr>
    </w:lvl>
    <w:lvl w:ilvl="8" w:tplc="0409001B" w:tentative="1">
      <w:start w:val="1"/>
      <w:numFmt w:val="lowerRoman"/>
      <w:lvlText w:val="%9."/>
      <w:lvlJc w:val="right"/>
      <w:pPr>
        <w:tabs>
          <w:tab w:val="num" w:pos="6653"/>
        </w:tabs>
        <w:ind w:left="6653" w:hanging="180"/>
      </w:pPr>
    </w:lvl>
  </w:abstractNum>
  <w:num w:numId="1" w16cid:durableId="847791537">
    <w:abstractNumId w:val="2"/>
  </w:num>
  <w:num w:numId="2" w16cid:durableId="1519469118">
    <w:abstractNumId w:val="0"/>
  </w:num>
  <w:num w:numId="3" w16cid:durableId="300766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235F"/>
    <w:rsid w:val="00010ED7"/>
    <w:rsid w:val="00013449"/>
    <w:rsid w:val="00022B93"/>
    <w:rsid w:val="0002438F"/>
    <w:rsid w:val="00027A4F"/>
    <w:rsid w:val="0003355B"/>
    <w:rsid w:val="00034BE0"/>
    <w:rsid w:val="00040CA3"/>
    <w:rsid w:val="0004111B"/>
    <w:rsid w:val="00042EDA"/>
    <w:rsid w:val="00046FE5"/>
    <w:rsid w:val="000473D4"/>
    <w:rsid w:val="000521EC"/>
    <w:rsid w:val="000529E7"/>
    <w:rsid w:val="00052B15"/>
    <w:rsid w:val="0005368B"/>
    <w:rsid w:val="000541F3"/>
    <w:rsid w:val="00056683"/>
    <w:rsid w:val="000611CD"/>
    <w:rsid w:val="00063CA8"/>
    <w:rsid w:val="00066EC6"/>
    <w:rsid w:val="000711AC"/>
    <w:rsid w:val="00071EF7"/>
    <w:rsid w:val="000727BE"/>
    <w:rsid w:val="000756BD"/>
    <w:rsid w:val="00077D8D"/>
    <w:rsid w:val="00094FB6"/>
    <w:rsid w:val="00095BBF"/>
    <w:rsid w:val="000A2EB9"/>
    <w:rsid w:val="000A770A"/>
    <w:rsid w:val="000B0BDE"/>
    <w:rsid w:val="000B4314"/>
    <w:rsid w:val="000B6A73"/>
    <w:rsid w:val="000C3903"/>
    <w:rsid w:val="000C3F85"/>
    <w:rsid w:val="000C44A2"/>
    <w:rsid w:val="000C5DDB"/>
    <w:rsid w:val="000D1156"/>
    <w:rsid w:val="000E5D24"/>
    <w:rsid w:val="000F042F"/>
    <w:rsid w:val="000F0770"/>
    <w:rsid w:val="000F3C31"/>
    <w:rsid w:val="000F5944"/>
    <w:rsid w:val="00103DBA"/>
    <w:rsid w:val="00110903"/>
    <w:rsid w:val="00121A99"/>
    <w:rsid w:val="00122154"/>
    <w:rsid w:val="00126EB7"/>
    <w:rsid w:val="00132A63"/>
    <w:rsid w:val="00133EBC"/>
    <w:rsid w:val="001349A5"/>
    <w:rsid w:val="00145A54"/>
    <w:rsid w:val="00151B7A"/>
    <w:rsid w:val="00156DCB"/>
    <w:rsid w:val="001574D5"/>
    <w:rsid w:val="001604B9"/>
    <w:rsid w:val="00162DC8"/>
    <w:rsid w:val="00167E22"/>
    <w:rsid w:val="00170369"/>
    <w:rsid w:val="00173FC6"/>
    <w:rsid w:val="00175D50"/>
    <w:rsid w:val="001774B6"/>
    <w:rsid w:val="00184244"/>
    <w:rsid w:val="0019320D"/>
    <w:rsid w:val="00193752"/>
    <w:rsid w:val="0019523B"/>
    <w:rsid w:val="00195E3F"/>
    <w:rsid w:val="001969A5"/>
    <w:rsid w:val="001A1007"/>
    <w:rsid w:val="001A2B31"/>
    <w:rsid w:val="001B24BA"/>
    <w:rsid w:val="001B2A2B"/>
    <w:rsid w:val="001B740B"/>
    <w:rsid w:val="001C0699"/>
    <w:rsid w:val="001C4ABE"/>
    <w:rsid w:val="001C4D60"/>
    <w:rsid w:val="001C7D9E"/>
    <w:rsid w:val="001D358B"/>
    <w:rsid w:val="001D3AB6"/>
    <w:rsid w:val="001E00BA"/>
    <w:rsid w:val="001E0EF3"/>
    <w:rsid w:val="001E369F"/>
    <w:rsid w:val="001E385B"/>
    <w:rsid w:val="001E4158"/>
    <w:rsid w:val="001E4989"/>
    <w:rsid w:val="001E724A"/>
    <w:rsid w:val="001F38B5"/>
    <w:rsid w:val="00204E89"/>
    <w:rsid w:val="002100F4"/>
    <w:rsid w:val="00211032"/>
    <w:rsid w:val="0021434C"/>
    <w:rsid w:val="00215EA5"/>
    <w:rsid w:val="00221D1C"/>
    <w:rsid w:val="0023087D"/>
    <w:rsid w:val="00232F4F"/>
    <w:rsid w:val="00234561"/>
    <w:rsid w:val="0023547E"/>
    <w:rsid w:val="0024244F"/>
    <w:rsid w:val="002429BC"/>
    <w:rsid w:val="00243011"/>
    <w:rsid w:val="00245169"/>
    <w:rsid w:val="00245962"/>
    <w:rsid w:val="00256541"/>
    <w:rsid w:val="00257654"/>
    <w:rsid w:val="00266FB2"/>
    <w:rsid w:val="00274059"/>
    <w:rsid w:val="0027486D"/>
    <w:rsid w:val="00275DCC"/>
    <w:rsid w:val="002832DC"/>
    <w:rsid w:val="002905D4"/>
    <w:rsid w:val="002911E6"/>
    <w:rsid w:val="002942CC"/>
    <w:rsid w:val="002A314D"/>
    <w:rsid w:val="002A41EA"/>
    <w:rsid w:val="002A5A95"/>
    <w:rsid w:val="002A6045"/>
    <w:rsid w:val="002B1A95"/>
    <w:rsid w:val="002B3070"/>
    <w:rsid w:val="002B388B"/>
    <w:rsid w:val="002B4927"/>
    <w:rsid w:val="002B60DA"/>
    <w:rsid w:val="002C0E58"/>
    <w:rsid w:val="002C3EFE"/>
    <w:rsid w:val="002C53A1"/>
    <w:rsid w:val="002C73A0"/>
    <w:rsid w:val="002D75DD"/>
    <w:rsid w:val="002E6E12"/>
    <w:rsid w:val="002F6778"/>
    <w:rsid w:val="00301861"/>
    <w:rsid w:val="00301E28"/>
    <w:rsid w:val="003104C7"/>
    <w:rsid w:val="003109C0"/>
    <w:rsid w:val="00313EB0"/>
    <w:rsid w:val="00322197"/>
    <w:rsid w:val="00324A1B"/>
    <w:rsid w:val="00325012"/>
    <w:rsid w:val="00340C26"/>
    <w:rsid w:val="00341646"/>
    <w:rsid w:val="003434B8"/>
    <w:rsid w:val="00344A4E"/>
    <w:rsid w:val="00345873"/>
    <w:rsid w:val="00345ADA"/>
    <w:rsid w:val="003469EA"/>
    <w:rsid w:val="003518E6"/>
    <w:rsid w:val="0035235F"/>
    <w:rsid w:val="0036502B"/>
    <w:rsid w:val="00372DF1"/>
    <w:rsid w:val="003765AD"/>
    <w:rsid w:val="00376FD2"/>
    <w:rsid w:val="00384722"/>
    <w:rsid w:val="00386E92"/>
    <w:rsid w:val="003871B5"/>
    <w:rsid w:val="00390071"/>
    <w:rsid w:val="00390CF7"/>
    <w:rsid w:val="00393FBC"/>
    <w:rsid w:val="00394EDF"/>
    <w:rsid w:val="00395BFC"/>
    <w:rsid w:val="003973EC"/>
    <w:rsid w:val="003A23FB"/>
    <w:rsid w:val="003A496C"/>
    <w:rsid w:val="003B1C09"/>
    <w:rsid w:val="003C05E3"/>
    <w:rsid w:val="003C0798"/>
    <w:rsid w:val="003C0C9D"/>
    <w:rsid w:val="003C3CBC"/>
    <w:rsid w:val="003C70B3"/>
    <w:rsid w:val="003C7CFA"/>
    <w:rsid w:val="003D12BE"/>
    <w:rsid w:val="003D1578"/>
    <w:rsid w:val="003D275D"/>
    <w:rsid w:val="003D2DE8"/>
    <w:rsid w:val="003E3DBC"/>
    <w:rsid w:val="003E63E5"/>
    <w:rsid w:val="003F300C"/>
    <w:rsid w:val="00405310"/>
    <w:rsid w:val="0040711A"/>
    <w:rsid w:val="0041198C"/>
    <w:rsid w:val="004144B0"/>
    <w:rsid w:val="00414504"/>
    <w:rsid w:val="00416581"/>
    <w:rsid w:val="00420900"/>
    <w:rsid w:val="00422D78"/>
    <w:rsid w:val="00426306"/>
    <w:rsid w:val="0042662D"/>
    <w:rsid w:val="004266E7"/>
    <w:rsid w:val="0043109A"/>
    <w:rsid w:val="0043710C"/>
    <w:rsid w:val="00445866"/>
    <w:rsid w:val="00445DEA"/>
    <w:rsid w:val="004519ED"/>
    <w:rsid w:val="00451F4A"/>
    <w:rsid w:val="004543EC"/>
    <w:rsid w:val="00464F7E"/>
    <w:rsid w:val="00482938"/>
    <w:rsid w:val="004829CA"/>
    <w:rsid w:val="00491583"/>
    <w:rsid w:val="00496966"/>
    <w:rsid w:val="004A1E19"/>
    <w:rsid w:val="004A2558"/>
    <w:rsid w:val="004A2AE1"/>
    <w:rsid w:val="004B3AE4"/>
    <w:rsid w:val="004B6696"/>
    <w:rsid w:val="004C19FB"/>
    <w:rsid w:val="004C368A"/>
    <w:rsid w:val="004C4693"/>
    <w:rsid w:val="004C5217"/>
    <w:rsid w:val="004D527D"/>
    <w:rsid w:val="004D5EF7"/>
    <w:rsid w:val="004E5714"/>
    <w:rsid w:val="004F12B2"/>
    <w:rsid w:val="004F3AC7"/>
    <w:rsid w:val="004F5997"/>
    <w:rsid w:val="00502B89"/>
    <w:rsid w:val="005033DD"/>
    <w:rsid w:val="005052DD"/>
    <w:rsid w:val="00511A2E"/>
    <w:rsid w:val="00512138"/>
    <w:rsid w:val="005124C3"/>
    <w:rsid w:val="00512D25"/>
    <w:rsid w:val="00513988"/>
    <w:rsid w:val="00517C52"/>
    <w:rsid w:val="00517D91"/>
    <w:rsid w:val="005205B6"/>
    <w:rsid w:val="0052329F"/>
    <w:rsid w:val="00531DAA"/>
    <w:rsid w:val="005329BA"/>
    <w:rsid w:val="0053434C"/>
    <w:rsid w:val="00536313"/>
    <w:rsid w:val="005367B4"/>
    <w:rsid w:val="00542D27"/>
    <w:rsid w:val="00542DAF"/>
    <w:rsid w:val="00543A4B"/>
    <w:rsid w:val="00543BF5"/>
    <w:rsid w:val="00543F8F"/>
    <w:rsid w:val="00546A0D"/>
    <w:rsid w:val="005514B8"/>
    <w:rsid w:val="0055374A"/>
    <w:rsid w:val="00555003"/>
    <w:rsid w:val="0055550C"/>
    <w:rsid w:val="00557FB8"/>
    <w:rsid w:val="00570973"/>
    <w:rsid w:val="00571E3F"/>
    <w:rsid w:val="00574648"/>
    <w:rsid w:val="00583B01"/>
    <w:rsid w:val="005862E5"/>
    <w:rsid w:val="00590FFA"/>
    <w:rsid w:val="00592D44"/>
    <w:rsid w:val="0059443B"/>
    <w:rsid w:val="00594811"/>
    <w:rsid w:val="005A026E"/>
    <w:rsid w:val="005A164C"/>
    <w:rsid w:val="005A462C"/>
    <w:rsid w:val="005A4CED"/>
    <w:rsid w:val="005A5CCA"/>
    <w:rsid w:val="005A796C"/>
    <w:rsid w:val="005B05BD"/>
    <w:rsid w:val="005B24D8"/>
    <w:rsid w:val="005B634C"/>
    <w:rsid w:val="005B6DAA"/>
    <w:rsid w:val="005D1BCC"/>
    <w:rsid w:val="005D2467"/>
    <w:rsid w:val="005D4BDD"/>
    <w:rsid w:val="005E624D"/>
    <w:rsid w:val="005E7362"/>
    <w:rsid w:val="005F1760"/>
    <w:rsid w:val="005F3645"/>
    <w:rsid w:val="005F4CF3"/>
    <w:rsid w:val="005F59B1"/>
    <w:rsid w:val="00601D35"/>
    <w:rsid w:val="00602C7E"/>
    <w:rsid w:val="0060358E"/>
    <w:rsid w:val="00616AF9"/>
    <w:rsid w:val="00620DD4"/>
    <w:rsid w:val="00621579"/>
    <w:rsid w:val="006323A2"/>
    <w:rsid w:val="006345EB"/>
    <w:rsid w:val="00635844"/>
    <w:rsid w:val="00637399"/>
    <w:rsid w:val="006432C0"/>
    <w:rsid w:val="00644F14"/>
    <w:rsid w:val="00655C64"/>
    <w:rsid w:val="00656E00"/>
    <w:rsid w:val="006632EB"/>
    <w:rsid w:val="006645F7"/>
    <w:rsid w:val="00664E06"/>
    <w:rsid w:val="00667E55"/>
    <w:rsid w:val="00670608"/>
    <w:rsid w:val="00672EDF"/>
    <w:rsid w:val="00674DDD"/>
    <w:rsid w:val="00682D98"/>
    <w:rsid w:val="00687332"/>
    <w:rsid w:val="00691D8D"/>
    <w:rsid w:val="00695C9D"/>
    <w:rsid w:val="00696991"/>
    <w:rsid w:val="006A6250"/>
    <w:rsid w:val="006B2D2C"/>
    <w:rsid w:val="006B33A6"/>
    <w:rsid w:val="006C0143"/>
    <w:rsid w:val="006C27D5"/>
    <w:rsid w:val="006D0563"/>
    <w:rsid w:val="006D0A30"/>
    <w:rsid w:val="006D1479"/>
    <w:rsid w:val="006D52FD"/>
    <w:rsid w:val="006E3B93"/>
    <w:rsid w:val="006E5337"/>
    <w:rsid w:val="006E7279"/>
    <w:rsid w:val="006E75ED"/>
    <w:rsid w:val="006F30D6"/>
    <w:rsid w:val="00702F2E"/>
    <w:rsid w:val="0071516A"/>
    <w:rsid w:val="00717728"/>
    <w:rsid w:val="00724D6B"/>
    <w:rsid w:val="0072521B"/>
    <w:rsid w:val="00727EBD"/>
    <w:rsid w:val="0073463D"/>
    <w:rsid w:val="007369E3"/>
    <w:rsid w:val="00737A4A"/>
    <w:rsid w:val="00741DEF"/>
    <w:rsid w:val="00744234"/>
    <w:rsid w:val="00744B59"/>
    <w:rsid w:val="00751076"/>
    <w:rsid w:val="007512BB"/>
    <w:rsid w:val="00760E47"/>
    <w:rsid w:val="00761B2A"/>
    <w:rsid w:val="0076722E"/>
    <w:rsid w:val="00767517"/>
    <w:rsid w:val="007716EA"/>
    <w:rsid w:val="007833B7"/>
    <w:rsid w:val="00784D52"/>
    <w:rsid w:val="00786B59"/>
    <w:rsid w:val="007938D8"/>
    <w:rsid w:val="007950EA"/>
    <w:rsid w:val="007A766F"/>
    <w:rsid w:val="007B5BA6"/>
    <w:rsid w:val="007B6BE2"/>
    <w:rsid w:val="007B6F74"/>
    <w:rsid w:val="007B7EBC"/>
    <w:rsid w:val="007C1E38"/>
    <w:rsid w:val="007C40FB"/>
    <w:rsid w:val="007C51DC"/>
    <w:rsid w:val="007C6739"/>
    <w:rsid w:val="007C6D95"/>
    <w:rsid w:val="007D0F90"/>
    <w:rsid w:val="007D2DE9"/>
    <w:rsid w:val="007D3088"/>
    <w:rsid w:val="007D34DF"/>
    <w:rsid w:val="007D6E44"/>
    <w:rsid w:val="007E19FF"/>
    <w:rsid w:val="007E1AF4"/>
    <w:rsid w:val="007E2CD3"/>
    <w:rsid w:val="007E306D"/>
    <w:rsid w:val="007E307A"/>
    <w:rsid w:val="007E3DE8"/>
    <w:rsid w:val="007E4F2E"/>
    <w:rsid w:val="007F19A9"/>
    <w:rsid w:val="007F21BC"/>
    <w:rsid w:val="007F27E1"/>
    <w:rsid w:val="007F63F8"/>
    <w:rsid w:val="008027D8"/>
    <w:rsid w:val="008060AE"/>
    <w:rsid w:val="0080632E"/>
    <w:rsid w:val="00806358"/>
    <w:rsid w:val="00806D7B"/>
    <w:rsid w:val="00811A04"/>
    <w:rsid w:val="00814CD1"/>
    <w:rsid w:val="00822A80"/>
    <w:rsid w:val="00822F5B"/>
    <w:rsid w:val="008273D8"/>
    <w:rsid w:val="0082751F"/>
    <w:rsid w:val="008339F1"/>
    <w:rsid w:val="00835849"/>
    <w:rsid w:val="00836251"/>
    <w:rsid w:val="008415AF"/>
    <w:rsid w:val="008438FD"/>
    <w:rsid w:val="00844636"/>
    <w:rsid w:val="00852069"/>
    <w:rsid w:val="00865761"/>
    <w:rsid w:val="008723AC"/>
    <w:rsid w:val="00880ACC"/>
    <w:rsid w:val="00885F94"/>
    <w:rsid w:val="00886FF9"/>
    <w:rsid w:val="00887359"/>
    <w:rsid w:val="0089579C"/>
    <w:rsid w:val="008A43D6"/>
    <w:rsid w:val="008A5241"/>
    <w:rsid w:val="008A6D42"/>
    <w:rsid w:val="008B0C9D"/>
    <w:rsid w:val="008C0E79"/>
    <w:rsid w:val="008C30E0"/>
    <w:rsid w:val="008C7D20"/>
    <w:rsid w:val="008D235C"/>
    <w:rsid w:val="008D5358"/>
    <w:rsid w:val="008E05AF"/>
    <w:rsid w:val="008E1A3B"/>
    <w:rsid w:val="008E5D1E"/>
    <w:rsid w:val="008E70BF"/>
    <w:rsid w:val="008F0385"/>
    <w:rsid w:val="0090139C"/>
    <w:rsid w:val="00901DEE"/>
    <w:rsid w:val="0090332F"/>
    <w:rsid w:val="00907157"/>
    <w:rsid w:val="0090774A"/>
    <w:rsid w:val="0091071E"/>
    <w:rsid w:val="009111C4"/>
    <w:rsid w:val="0091691A"/>
    <w:rsid w:val="0092065D"/>
    <w:rsid w:val="0092150F"/>
    <w:rsid w:val="009230DD"/>
    <w:rsid w:val="009242F0"/>
    <w:rsid w:val="00927D65"/>
    <w:rsid w:val="00930D2A"/>
    <w:rsid w:val="0093309B"/>
    <w:rsid w:val="00935088"/>
    <w:rsid w:val="00937616"/>
    <w:rsid w:val="00941A1C"/>
    <w:rsid w:val="00943DA8"/>
    <w:rsid w:val="0094706A"/>
    <w:rsid w:val="00951BBC"/>
    <w:rsid w:val="00956498"/>
    <w:rsid w:val="009600E1"/>
    <w:rsid w:val="00961384"/>
    <w:rsid w:val="00967900"/>
    <w:rsid w:val="009701CC"/>
    <w:rsid w:val="00972750"/>
    <w:rsid w:val="00972932"/>
    <w:rsid w:val="00974C21"/>
    <w:rsid w:val="009773F4"/>
    <w:rsid w:val="00981B42"/>
    <w:rsid w:val="00981FDD"/>
    <w:rsid w:val="009821D9"/>
    <w:rsid w:val="0098338B"/>
    <w:rsid w:val="00984D44"/>
    <w:rsid w:val="009877D0"/>
    <w:rsid w:val="009901BF"/>
    <w:rsid w:val="00990722"/>
    <w:rsid w:val="00991688"/>
    <w:rsid w:val="00994205"/>
    <w:rsid w:val="00994F12"/>
    <w:rsid w:val="009A31D2"/>
    <w:rsid w:val="009A3329"/>
    <w:rsid w:val="009A5C98"/>
    <w:rsid w:val="009A5DF2"/>
    <w:rsid w:val="009A7D59"/>
    <w:rsid w:val="009B089C"/>
    <w:rsid w:val="009B41A9"/>
    <w:rsid w:val="009B4B7C"/>
    <w:rsid w:val="009C03DB"/>
    <w:rsid w:val="009C18D1"/>
    <w:rsid w:val="009C2B13"/>
    <w:rsid w:val="009D1BF5"/>
    <w:rsid w:val="009D354B"/>
    <w:rsid w:val="009D3E1B"/>
    <w:rsid w:val="009D6260"/>
    <w:rsid w:val="009E32BE"/>
    <w:rsid w:val="009E3D94"/>
    <w:rsid w:val="009E733B"/>
    <w:rsid w:val="009E7592"/>
    <w:rsid w:val="009F0BA2"/>
    <w:rsid w:val="009F5580"/>
    <w:rsid w:val="00A00966"/>
    <w:rsid w:val="00A01212"/>
    <w:rsid w:val="00A02298"/>
    <w:rsid w:val="00A0467C"/>
    <w:rsid w:val="00A111C1"/>
    <w:rsid w:val="00A16637"/>
    <w:rsid w:val="00A16E99"/>
    <w:rsid w:val="00A2222E"/>
    <w:rsid w:val="00A26370"/>
    <w:rsid w:val="00A32264"/>
    <w:rsid w:val="00A36CE1"/>
    <w:rsid w:val="00A42C99"/>
    <w:rsid w:val="00A465C6"/>
    <w:rsid w:val="00A52471"/>
    <w:rsid w:val="00A55B13"/>
    <w:rsid w:val="00A5793B"/>
    <w:rsid w:val="00A57C18"/>
    <w:rsid w:val="00A676C5"/>
    <w:rsid w:val="00A71369"/>
    <w:rsid w:val="00A724B7"/>
    <w:rsid w:val="00A73109"/>
    <w:rsid w:val="00A76733"/>
    <w:rsid w:val="00A7712F"/>
    <w:rsid w:val="00A806F6"/>
    <w:rsid w:val="00A81965"/>
    <w:rsid w:val="00A81FBB"/>
    <w:rsid w:val="00A85251"/>
    <w:rsid w:val="00A8641A"/>
    <w:rsid w:val="00A90600"/>
    <w:rsid w:val="00A90A29"/>
    <w:rsid w:val="00A90F28"/>
    <w:rsid w:val="00A946D9"/>
    <w:rsid w:val="00A94810"/>
    <w:rsid w:val="00A965C3"/>
    <w:rsid w:val="00A971E1"/>
    <w:rsid w:val="00AA1127"/>
    <w:rsid w:val="00AA126E"/>
    <w:rsid w:val="00AA1E0E"/>
    <w:rsid w:val="00AA31A5"/>
    <w:rsid w:val="00AA518A"/>
    <w:rsid w:val="00AB3532"/>
    <w:rsid w:val="00AB5D2E"/>
    <w:rsid w:val="00AC6D61"/>
    <w:rsid w:val="00AD256A"/>
    <w:rsid w:val="00AD2FE9"/>
    <w:rsid w:val="00AD5296"/>
    <w:rsid w:val="00AD614C"/>
    <w:rsid w:val="00AE41BD"/>
    <w:rsid w:val="00AE4420"/>
    <w:rsid w:val="00AE663D"/>
    <w:rsid w:val="00AE6DC6"/>
    <w:rsid w:val="00AF7F8E"/>
    <w:rsid w:val="00B03DD3"/>
    <w:rsid w:val="00B056C3"/>
    <w:rsid w:val="00B13D90"/>
    <w:rsid w:val="00B14E7C"/>
    <w:rsid w:val="00B23CB7"/>
    <w:rsid w:val="00B2513E"/>
    <w:rsid w:val="00B3085F"/>
    <w:rsid w:val="00B31142"/>
    <w:rsid w:val="00B33902"/>
    <w:rsid w:val="00B34651"/>
    <w:rsid w:val="00B369BB"/>
    <w:rsid w:val="00B377AB"/>
    <w:rsid w:val="00B4384A"/>
    <w:rsid w:val="00B521CA"/>
    <w:rsid w:val="00B53004"/>
    <w:rsid w:val="00B53E7E"/>
    <w:rsid w:val="00B60C92"/>
    <w:rsid w:val="00B62BFC"/>
    <w:rsid w:val="00B64364"/>
    <w:rsid w:val="00B7585F"/>
    <w:rsid w:val="00B84C21"/>
    <w:rsid w:val="00BA14CB"/>
    <w:rsid w:val="00BA4C22"/>
    <w:rsid w:val="00BA6667"/>
    <w:rsid w:val="00BC3A21"/>
    <w:rsid w:val="00BC4D18"/>
    <w:rsid w:val="00BC734D"/>
    <w:rsid w:val="00BC7A3B"/>
    <w:rsid w:val="00BD11ED"/>
    <w:rsid w:val="00BD6241"/>
    <w:rsid w:val="00BE0C8E"/>
    <w:rsid w:val="00BE7125"/>
    <w:rsid w:val="00BF21C2"/>
    <w:rsid w:val="00BF62D1"/>
    <w:rsid w:val="00BF68D6"/>
    <w:rsid w:val="00BF795D"/>
    <w:rsid w:val="00C00496"/>
    <w:rsid w:val="00C0730F"/>
    <w:rsid w:val="00C0763F"/>
    <w:rsid w:val="00C1057A"/>
    <w:rsid w:val="00C13D59"/>
    <w:rsid w:val="00C1445A"/>
    <w:rsid w:val="00C20241"/>
    <w:rsid w:val="00C21A5E"/>
    <w:rsid w:val="00C26447"/>
    <w:rsid w:val="00C33947"/>
    <w:rsid w:val="00C34B70"/>
    <w:rsid w:val="00C353EE"/>
    <w:rsid w:val="00C3714E"/>
    <w:rsid w:val="00C3724E"/>
    <w:rsid w:val="00C40894"/>
    <w:rsid w:val="00C446AC"/>
    <w:rsid w:val="00C466D7"/>
    <w:rsid w:val="00C51090"/>
    <w:rsid w:val="00C53909"/>
    <w:rsid w:val="00C5534A"/>
    <w:rsid w:val="00C55582"/>
    <w:rsid w:val="00C645D2"/>
    <w:rsid w:val="00C64D73"/>
    <w:rsid w:val="00C65062"/>
    <w:rsid w:val="00C650CC"/>
    <w:rsid w:val="00C66AA1"/>
    <w:rsid w:val="00C70A2A"/>
    <w:rsid w:val="00C73458"/>
    <w:rsid w:val="00C77A06"/>
    <w:rsid w:val="00C8308B"/>
    <w:rsid w:val="00C838E5"/>
    <w:rsid w:val="00C83B3D"/>
    <w:rsid w:val="00C83F74"/>
    <w:rsid w:val="00C85647"/>
    <w:rsid w:val="00C875BC"/>
    <w:rsid w:val="00C930BB"/>
    <w:rsid w:val="00C93309"/>
    <w:rsid w:val="00C94867"/>
    <w:rsid w:val="00CB011F"/>
    <w:rsid w:val="00CB349F"/>
    <w:rsid w:val="00CC5A91"/>
    <w:rsid w:val="00CD4890"/>
    <w:rsid w:val="00CD6E9D"/>
    <w:rsid w:val="00CE0F0F"/>
    <w:rsid w:val="00CF0FE3"/>
    <w:rsid w:val="00CF18B3"/>
    <w:rsid w:val="00CF220E"/>
    <w:rsid w:val="00CF35B8"/>
    <w:rsid w:val="00D03857"/>
    <w:rsid w:val="00D103D7"/>
    <w:rsid w:val="00D154F7"/>
    <w:rsid w:val="00D1770E"/>
    <w:rsid w:val="00D20178"/>
    <w:rsid w:val="00D2525A"/>
    <w:rsid w:val="00D352A4"/>
    <w:rsid w:val="00D36A88"/>
    <w:rsid w:val="00D379E7"/>
    <w:rsid w:val="00D40647"/>
    <w:rsid w:val="00D40E0F"/>
    <w:rsid w:val="00D4110D"/>
    <w:rsid w:val="00D41159"/>
    <w:rsid w:val="00D43800"/>
    <w:rsid w:val="00D44593"/>
    <w:rsid w:val="00D55716"/>
    <w:rsid w:val="00D64D6B"/>
    <w:rsid w:val="00D704DA"/>
    <w:rsid w:val="00D753E8"/>
    <w:rsid w:val="00D76045"/>
    <w:rsid w:val="00D82916"/>
    <w:rsid w:val="00D83583"/>
    <w:rsid w:val="00D84343"/>
    <w:rsid w:val="00D84F4D"/>
    <w:rsid w:val="00D8735F"/>
    <w:rsid w:val="00D96561"/>
    <w:rsid w:val="00DA3E9F"/>
    <w:rsid w:val="00DA5A9F"/>
    <w:rsid w:val="00DA5F9C"/>
    <w:rsid w:val="00DA621F"/>
    <w:rsid w:val="00DA639F"/>
    <w:rsid w:val="00DB1E8A"/>
    <w:rsid w:val="00DB240C"/>
    <w:rsid w:val="00DC0B64"/>
    <w:rsid w:val="00DC17DF"/>
    <w:rsid w:val="00DC4AF3"/>
    <w:rsid w:val="00DC7CF8"/>
    <w:rsid w:val="00DD0BD4"/>
    <w:rsid w:val="00DD6DCF"/>
    <w:rsid w:val="00DD7672"/>
    <w:rsid w:val="00DE764F"/>
    <w:rsid w:val="00DF563C"/>
    <w:rsid w:val="00DF59BA"/>
    <w:rsid w:val="00E000CA"/>
    <w:rsid w:val="00E11275"/>
    <w:rsid w:val="00E16C0B"/>
    <w:rsid w:val="00E23DBA"/>
    <w:rsid w:val="00E25837"/>
    <w:rsid w:val="00E35D0A"/>
    <w:rsid w:val="00E37827"/>
    <w:rsid w:val="00E40F17"/>
    <w:rsid w:val="00E4197D"/>
    <w:rsid w:val="00E41E62"/>
    <w:rsid w:val="00E43306"/>
    <w:rsid w:val="00E45B57"/>
    <w:rsid w:val="00E53B47"/>
    <w:rsid w:val="00E55D36"/>
    <w:rsid w:val="00E603A8"/>
    <w:rsid w:val="00E74048"/>
    <w:rsid w:val="00E750FA"/>
    <w:rsid w:val="00E84A1C"/>
    <w:rsid w:val="00E92CEC"/>
    <w:rsid w:val="00EA669E"/>
    <w:rsid w:val="00EB0CDE"/>
    <w:rsid w:val="00EB495D"/>
    <w:rsid w:val="00EB5702"/>
    <w:rsid w:val="00EB733F"/>
    <w:rsid w:val="00EB7702"/>
    <w:rsid w:val="00EB79C7"/>
    <w:rsid w:val="00ED4D46"/>
    <w:rsid w:val="00ED610E"/>
    <w:rsid w:val="00ED67D1"/>
    <w:rsid w:val="00EE149E"/>
    <w:rsid w:val="00EE4BA9"/>
    <w:rsid w:val="00EF0988"/>
    <w:rsid w:val="00EF0CB4"/>
    <w:rsid w:val="00EF2333"/>
    <w:rsid w:val="00EF2B4D"/>
    <w:rsid w:val="00EF4E51"/>
    <w:rsid w:val="00EF4F6D"/>
    <w:rsid w:val="00EF5B32"/>
    <w:rsid w:val="00EF678D"/>
    <w:rsid w:val="00EF7890"/>
    <w:rsid w:val="00F00367"/>
    <w:rsid w:val="00F007B2"/>
    <w:rsid w:val="00F00C79"/>
    <w:rsid w:val="00F07005"/>
    <w:rsid w:val="00F07B1D"/>
    <w:rsid w:val="00F13E79"/>
    <w:rsid w:val="00F14035"/>
    <w:rsid w:val="00F147E4"/>
    <w:rsid w:val="00F16510"/>
    <w:rsid w:val="00F17564"/>
    <w:rsid w:val="00F23247"/>
    <w:rsid w:val="00F26E0B"/>
    <w:rsid w:val="00F27E9B"/>
    <w:rsid w:val="00F30224"/>
    <w:rsid w:val="00F32910"/>
    <w:rsid w:val="00F35F71"/>
    <w:rsid w:val="00F40766"/>
    <w:rsid w:val="00F433C2"/>
    <w:rsid w:val="00F4369D"/>
    <w:rsid w:val="00F439F7"/>
    <w:rsid w:val="00F44ED5"/>
    <w:rsid w:val="00F459A2"/>
    <w:rsid w:val="00F46F1C"/>
    <w:rsid w:val="00F544EC"/>
    <w:rsid w:val="00F54D9E"/>
    <w:rsid w:val="00F60F94"/>
    <w:rsid w:val="00F64F88"/>
    <w:rsid w:val="00F724C7"/>
    <w:rsid w:val="00F738EE"/>
    <w:rsid w:val="00F77C25"/>
    <w:rsid w:val="00F8336A"/>
    <w:rsid w:val="00F83BD5"/>
    <w:rsid w:val="00F864C4"/>
    <w:rsid w:val="00F9068D"/>
    <w:rsid w:val="00F90EA2"/>
    <w:rsid w:val="00F91755"/>
    <w:rsid w:val="00F95F00"/>
    <w:rsid w:val="00F96DCC"/>
    <w:rsid w:val="00FA12B8"/>
    <w:rsid w:val="00FA2594"/>
    <w:rsid w:val="00FA2D67"/>
    <w:rsid w:val="00FA5809"/>
    <w:rsid w:val="00FA6CFC"/>
    <w:rsid w:val="00FA7D00"/>
    <w:rsid w:val="00FB5D57"/>
    <w:rsid w:val="00FC1C21"/>
    <w:rsid w:val="00FC5F60"/>
    <w:rsid w:val="00FC6E3F"/>
    <w:rsid w:val="00FC7AB9"/>
    <w:rsid w:val="00FD22E5"/>
    <w:rsid w:val="00FD6DC1"/>
    <w:rsid w:val="00FE140E"/>
    <w:rsid w:val="00FE190D"/>
    <w:rsid w:val="00FE2D72"/>
    <w:rsid w:val="00FE2EB8"/>
    <w:rsid w:val="00FE3809"/>
    <w:rsid w:val="00FF076C"/>
    <w:rsid w:val="00FF579E"/>
    <w:rsid w:val="00FF698E"/>
    <w:rsid w:val="00FF6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rules v:ext="edit">
        <o:r id="V:Rule1" type="connector" idref="#_x0000_s1028"/>
        <o:r id="V:Rule2" type="connector" idref="#_x0000_s1038"/>
        <o:r id="V:Rule3" type="connector" idref="#_x0000_s1037"/>
      </o:rules>
    </o:shapelayout>
  </w:shapeDefaults>
  <w:decimalSymbol w:val="."/>
  <w:listSeparator w:val=","/>
  <w14:docId w14:val="35C5722F"/>
  <w15:chartTrackingRefBased/>
  <w15:docId w15:val="{31B109D6-A5AB-4429-BE58-8737CBBB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lang w:eastAsia="en-US"/>
    </w:rPr>
  </w:style>
  <w:style w:type="paragraph" w:styleId="Heading1">
    <w:name w:val="heading 1"/>
    <w:basedOn w:val="Normal"/>
    <w:next w:val="Normal"/>
    <w:qFormat/>
    <w:rsid w:val="0035235F"/>
    <w:pPr>
      <w:keepNext/>
      <w:jc w:val="center"/>
      <w:outlineLvl w:val="0"/>
    </w:pPr>
    <w:rPr>
      <w:rFonts w:ascii=".VnTimeH" w:hAnsi=".VnTimeH"/>
      <w:b/>
      <w:bCs/>
      <w:sz w:val="24"/>
      <w:szCs w:val="24"/>
    </w:rPr>
  </w:style>
  <w:style w:type="paragraph" w:styleId="Heading2">
    <w:name w:val="heading 2"/>
    <w:basedOn w:val="Normal"/>
    <w:next w:val="Normal"/>
    <w:link w:val="Heading2Char"/>
    <w:unhideWhenUsed/>
    <w:qFormat/>
    <w:rsid w:val="0002438F"/>
    <w:pPr>
      <w:keepNext/>
      <w:spacing w:before="240" w:after="60"/>
      <w:outlineLvl w:val="1"/>
    </w:pPr>
    <w:rPr>
      <w:rFonts w:ascii="Calibri Light" w:hAnsi="Calibri Light"/>
      <w:b/>
      <w:bCs/>
      <w:i/>
      <w:iCs/>
    </w:rPr>
  </w:style>
  <w:style w:type="paragraph" w:styleId="Heading3">
    <w:name w:val="heading 3"/>
    <w:basedOn w:val="Normal"/>
    <w:next w:val="Normal"/>
    <w:qFormat/>
    <w:rsid w:val="0035235F"/>
    <w:pPr>
      <w:keepNext/>
      <w:jc w:val="center"/>
      <w:outlineLvl w:val="2"/>
    </w:pPr>
    <w:rPr>
      <w:rFonts w:ascii=".VnTime" w:hAnsi=".VnTime"/>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Normal"/>
    <w:next w:val="Normal"/>
    <w:autoRedefine/>
    <w:semiHidden/>
    <w:rsid w:val="00301E28"/>
    <w:pPr>
      <w:spacing w:before="120" w:after="120" w:line="312" w:lineRule="auto"/>
    </w:pPr>
  </w:style>
  <w:style w:type="paragraph" w:styleId="NormalWeb">
    <w:name w:val="Normal (Web)"/>
    <w:basedOn w:val="Normal"/>
    <w:uiPriority w:val="99"/>
    <w:rsid w:val="00215EA5"/>
    <w:pPr>
      <w:spacing w:before="100" w:beforeAutospacing="1" w:after="100" w:afterAutospacing="1"/>
    </w:pPr>
    <w:rPr>
      <w:sz w:val="24"/>
      <w:szCs w:val="24"/>
    </w:rPr>
  </w:style>
  <w:style w:type="character" w:styleId="Hyperlink">
    <w:name w:val="Hyperlink"/>
    <w:rsid w:val="00AE41BD"/>
    <w:rPr>
      <w:color w:val="0000FF"/>
      <w:u w:val="single"/>
    </w:rPr>
  </w:style>
  <w:style w:type="character" w:styleId="Emphasis">
    <w:name w:val="Emphasis"/>
    <w:uiPriority w:val="20"/>
    <w:qFormat/>
    <w:rsid w:val="001A1007"/>
    <w:rPr>
      <w:i/>
      <w:iCs/>
    </w:rPr>
  </w:style>
  <w:style w:type="paragraph" w:styleId="Header">
    <w:name w:val="header"/>
    <w:basedOn w:val="Normal"/>
    <w:link w:val="HeaderChar"/>
    <w:uiPriority w:val="99"/>
    <w:rsid w:val="007F63F8"/>
    <w:pPr>
      <w:tabs>
        <w:tab w:val="center" w:pos="4680"/>
        <w:tab w:val="right" w:pos="9360"/>
      </w:tabs>
    </w:pPr>
    <w:rPr>
      <w:lang w:val="x-none" w:eastAsia="x-none"/>
    </w:rPr>
  </w:style>
  <w:style w:type="character" w:customStyle="1" w:styleId="HeaderChar">
    <w:name w:val="Header Char"/>
    <w:link w:val="Header"/>
    <w:uiPriority w:val="99"/>
    <w:rsid w:val="007F63F8"/>
    <w:rPr>
      <w:sz w:val="28"/>
      <w:szCs w:val="28"/>
    </w:rPr>
  </w:style>
  <w:style w:type="paragraph" w:styleId="Footer">
    <w:name w:val="footer"/>
    <w:basedOn w:val="Normal"/>
    <w:link w:val="FooterChar"/>
    <w:rsid w:val="007F63F8"/>
    <w:pPr>
      <w:tabs>
        <w:tab w:val="center" w:pos="4680"/>
        <w:tab w:val="right" w:pos="9360"/>
      </w:tabs>
    </w:pPr>
    <w:rPr>
      <w:lang w:val="x-none" w:eastAsia="x-none"/>
    </w:rPr>
  </w:style>
  <w:style w:type="character" w:customStyle="1" w:styleId="FooterChar">
    <w:name w:val="Footer Char"/>
    <w:link w:val="Footer"/>
    <w:rsid w:val="007F63F8"/>
    <w:rPr>
      <w:sz w:val="28"/>
      <w:szCs w:val="28"/>
    </w:rPr>
  </w:style>
  <w:style w:type="character" w:customStyle="1" w:styleId="Heading2Char">
    <w:name w:val="Heading 2 Char"/>
    <w:link w:val="Heading2"/>
    <w:rsid w:val="0002438F"/>
    <w:rPr>
      <w:rFonts w:ascii="Calibri Light" w:eastAsia="Times New Roman" w:hAnsi="Calibri Light" w:cs="Times New Roman"/>
      <w:b/>
      <w:bCs/>
      <w:i/>
      <w:iCs/>
      <w:sz w:val="28"/>
      <w:szCs w:val="28"/>
    </w:rPr>
  </w:style>
  <w:style w:type="paragraph" w:styleId="BalloonText">
    <w:name w:val="Balloon Text"/>
    <w:basedOn w:val="Normal"/>
    <w:link w:val="BalloonTextChar"/>
    <w:rsid w:val="003C0798"/>
    <w:rPr>
      <w:rFonts w:ascii="Segoe UI" w:hAnsi="Segoe UI" w:cs="Segoe UI"/>
      <w:sz w:val="18"/>
      <w:szCs w:val="18"/>
    </w:rPr>
  </w:style>
  <w:style w:type="character" w:customStyle="1" w:styleId="BalloonTextChar">
    <w:name w:val="Balloon Text Char"/>
    <w:link w:val="BalloonText"/>
    <w:rsid w:val="003C0798"/>
    <w:rPr>
      <w:rFonts w:ascii="Segoe UI" w:hAnsi="Segoe UI" w:cs="Segoe UI"/>
      <w:sz w:val="18"/>
      <w:szCs w:val="18"/>
    </w:rPr>
  </w:style>
  <w:style w:type="paragraph" w:customStyle="1" w:styleId="Char">
    <w:name w:val="Char"/>
    <w:basedOn w:val="Normal"/>
    <w:autoRedefine/>
    <w:rsid w:val="007F21BC"/>
    <w:pPr>
      <w:spacing w:after="160" w:line="240" w:lineRule="exact"/>
    </w:pPr>
    <w:rPr>
      <w:rFonts w:ascii="Verdana" w:hAnsi="Verdana" w:cs="Verdana"/>
      <w:sz w:val="20"/>
      <w:szCs w:val="20"/>
    </w:rPr>
  </w:style>
  <w:style w:type="paragraph" w:styleId="BodyText">
    <w:name w:val="Body Text"/>
    <w:basedOn w:val="Normal"/>
    <w:link w:val="BodyTextChar"/>
    <w:rsid w:val="00FB5D57"/>
    <w:rPr>
      <w:rFonts w:ascii=".VnArial Narrow" w:hAnsi=".VnArial Narrow"/>
      <w:bCs/>
      <w:sz w:val="24"/>
      <w:szCs w:val="24"/>
    </w:rPr>
  </w:style>
  <w:style w:type="character" w:customStyle="1" w:styleId="BodyTextChar">
    <w:name w:val="Body Text Char"/>
    <w:link w:val="BodyText"/>
    <w:rsid w:val="00FB5D57"/>
    <w:rPr>
      <w:rFonts w:ascii=".VnArial Narrow" w:hAnsi=".VnArial Narrow"/>
      <w:bCs/>
      <w:sz w:val="24"/>
      <w:szCs w:val="24"/>
    </w:rPr>
  </w:style>
  <w:style w:type="character" w:customStyle="1" w:styleId="whitespace-normal">
    <w:name w:val="whitespace-normal"/>
    <w:rsid w:val="00E41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53148">
      <w:bodyDiv w:val="1"/>
      <w:marLeft w:val="0"/>
      <w:marRight w:val="0"/>
      <w:marTop w:val="0"/>
      <w:marBottom w:val="0"/>
      <w:divBdr>
        <w:top w:val="none" w:sz="0" w:space="0" w:color="auto"/>
        <w:left w:val="none" w:sz="0" w:space="0" w:color="auto"/>
        <w:bottom w:val="none" w:sz="0" w:space="0" w:color="auto"/>
        <w:right w:val="none" w:sz="0" w:space="0" w:color="auto"/>
      </w:divBdr>
    </w:div>
    <w:div w:id="302349616">
      <w:bodyDiv w:val="1"/>
      <w:marLeft w:val="0"/>
      <w:marRight w:val="0"/>
      <w:marTop w:val="0"/>
      <w:marBottom w:val="0"/>
      <w:divBdr>
        <w:top w:val="none" w:sz="0" w:space="0" w:color="auto"/>
        <w:left w:val="none" w:sz="0" w:space="0" w:color="auto"/>
        <w:bottom w:val="none" w:sz="0" w:space="0" w:color="auto"/>
        <w:right w:val="none" w:sz="0" w:space="0" w:color="auto"/>
      </w:divBdr>
    </w:div>
    <w:div w:id="448359576">
      <w:bodyDiv w:val="1"/>
      <w:marLeft w:val="0"/>
      <w:marRight w:val="0"/>
      <w:marTop w:val="0"/>
      <w:marBottom w:val="0"/>
      <w:divBdr>
        <w:top w:val="none" w:sz="0" w:space="0" w:color="auto"/>
        <w:left w:val="none" w:sz="0" w:space="0" w:color="auto"/>
        <w:bottom w:val="none" w:sz="0" w:space="0" w:color="auto"/>
        <w:right w:val="none" w:sz="0" w:space="0" w:color="auto"/>
      </w:divBdr>
    </w:div>
    <w:div w:id="596669952">
      <w:bodyDiv w:val="1"/>
      <w:marLeft w:val="0"/>
      <w:marRight w:val="0"/>
      <w:marTop w:val="0"/>
      <w:marBottom w:val="0"/>
      <w:divBdr>
        <w:top w:val="none" w:sz="0" w:space="0" w:color="auto"/>
        <w:left w:val="none" w:sz="0" w:space="0" w:color="auto"/>
        <w:bottom w:val="none" w:sz="0" w:space="0" w:color="auto"/>
        <w:right w:val="none" w:sz="0" w:space="0" w:color="auto"/>
      </w:divBdr>
    </w:div>
    <w:div w:id="1085954450">
      <w:bodyDiv w:val="1"/>
      <w:marLeft w:val="0"/>
      <w:marRight w:val="0"/>
      <w:marTop w:val="0"/>
      <w:marBottom w:val="0"/>
      <w:divBdr>
        <w:top w:val="none" w:sz="0" w:space="0" w:color="auto"/>
        <w:left w:val="none" w:sz="0" w:space="0" w:color="auto"/>
        <w:bottom w:val="none" w:sz="0" w:space="0" w:color="auto"/>
        <w:right w:val="none" w:sz="0" w:space="0" w:color="auto"/>
      </w:divBdr>
    </w:div>
    <w:div w:id="1374308081">
      <w:bodyDiv w:val="1"/>
      <w:marLeft w:val="0"/>
      <w:marRight w:val="0"/>
      <w:marTop w:val="0"/>
      <w:marBottom w:val="0"/>
      <w:divBdr>
        <w:top w:val="none" w:sz="0" w:space="0" w:color="auto"/>
        <w:left w:val="none" w:sz="0" w:space="0" w:color="auto"/>
        <w:bottom w:val="none" w:sz="0" w:space="0" w:color="auto"/>
        <w:right w:val="none" w:sz="0" w:space="0" w:color="auto"/>
      </w:divBdr>
    </w:div>
    <w:div w:id="1662654366">
      <w:bodyDiv w:val="1"/>
      <w:marLeft w:val="0"/>
      <w:marRight w:val="0"/>
      <w:marTop w:val="0"/>
      <w:marBottom w:val="0"/>
      <w:divBdr>
        <w:top w:val="none" w:sz="0" w:space="0" w:color="auto"/>
        <w:left w:val="none" w:sz="0" w:space="0" w:color="auto"/>
        <w:bottom w:val="none" w:sz="0" w:space="0" w:color="auto"/>
        <w:right w:val="none" w:sz="0" w:space="0" w:color="auto"/>
      </w:divBdr>
    </w:div>
    <w:div w:id="1870334328">
      <w:bodyDiv w:val="1"/>
      <w:marLeft w:val="0"/>
      <w:marRight w:val="0"/>
      <w:marTop w:val="0"/>
      <w:marBottom w:val="0"/>
      <w:divBdr>
        <w:top w:val="none" w:sz="0" w:space="0" w:color="auto"/>
        <w:left w:val="none" w:sz="0" w:space="0" w:color="auto"/>
        <w:bottom w:val="none" w:sz="0" w:space="0" w:color="auto"/>
        <w:right w:val="none" w:sz="0" w:space="0" w:color="auto"/>
      </w:divBdr>
    </w:div>
    <w:div w:id="1876774092">
      <w:bodyDiv w:val="1"/>
      <w:marLeft w:val="0"/>
      <w:marRight w:val="0"/>
      <w:marTop w:val="0"/>
      <w:marBottom w:val="0"/>
      <w:divBdr>
        <w:top w:val="none" w:sz="0" w:space="0" w:color="auto"/>
        <w:left w:val="none" w:sz="0" w:space="0" w:color="auto"/>
        <w:bottom w:val="none" w:sz="0" w:space="0" w:color="auto"/>
        <w:right w:val="none" w:sz="0" w:space="0" w:color="auto"/>
      </w:divBdr>
    </w:div>
    <w:div w:id="212961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nnmt.tuyenquang.gov.vn/v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8C780-ECD1-4F43-BEDB-FDF0F4A1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UBND TỈNH LAI CHÂU</vt:lpstr>
    </vt:vector>
  </TitlesOfParts>
  <Company>TienLoc PC</Company>
  <LinksUpToDate>false</LinksUpToDate>
  <CharactersWithSpaces>9641</CharactersWithSpaces>
  <SharedDoc>false</SharedDoc>
  <HLinks>
    <vt:vector size="6" baseType="variant">
      <vt:variant>
        <vt:i4>7012401</vt:i4>
      </vt:variant>
      <vt:variant>
        <vt:i4>0</vt:i4>
      </vt:variant>
      <vt:variant>
        <vt:i4>0</vt:i4>
      </vt:variant>
      <vt:variant>
        <vt:i4>5</vt:i4>
      </vt:variant>
      <vt:variant>
        <vt:lpwstr>https://sonnmt.tuyenquang.gov.vn/vi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LAI CHÂU</dc:title>
  <dc:subject/>
  <dc:creator>Nguyen Van Giap</dc:creator>
  <cp:keywords/>
  <cp:lastModifiedBy>Tường Văn</cp:lastModifiedBy>
  <cp:revision>36</cp:revision>
  <cp:lastPrinted>2026-04-22T01:09:00Z</cp:lastPrinted>
  <dcterms:created xsi:type="dcterms:W3CDTF">2026-05-20T02:51:00Z</dcterms:created>
  <dcterms:modified xsi:type="dcterms:W3CDTF">2026-05-21T07:29:00Z</dcterms:modified>
</cp:coreProperties>
</file>