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D932" w14:textId="669EF7D5" w:rsidR="00A3356F" w:rsidRPr="004E77E2" w:rsidRDefault="00A3356F" w:rsidP="00270D21">
      <w:pPr>
        <w:jc w:val="center"/>
        <w:rPr>
          <w:b/>
          <w:bCs/>
          <w:color w:val="auto"/>
        </w:rPr>
      </w:pPr>
    </w:p>
    <w:p w14:paraId="73FFE307" w14:textId="555E2ECA" w:rsidR="00270D21" w:rsidRPr="004E77E2" w:rsidRDefault="00270D21" w:rsidP="00270D21">
      <w:pPr>
        <w:jc w:val="center"/>
        <w:rPr>
          <w:b/>
          <w:bCs/>
          <w:color w:val="auto"/>
        </w:rPr>
      </w:pPr>
      <w:r w:rsidRPr="004E77E2">
        <w:rPr>
          <w:b/>
          <w:bCs/>
          <w:color w:val="auto"/>
        </w:rPr>
        <w:t>BẢN SO SÁNH, THUYẾT MINH NỘI DUNG DỰ THẢO</w:t>
      </w:r>
      <w:r w:rsidRPr="004E77E2">
        <w:rPr>
          <w:b/>
          <w:bCs/>
          <w:color w:val="auto"/>
        </w:rPr>
        <w:br/>
        <w:t>Quyết định quy định Định mức kinh tế – kỹ thuật quản lý, vận hành hệ thống thoát nước và xử lý nước thải đô thị trên địa bàn tỉnh Tuyên Quang</w:t>
      </w:r>
    </w:p>
    <w:p w14:paraId="3AB56673" w14:textId="2D310DC2" w:rsidR="00270D21" w:rsidRPr="004E77E2" w:rsidRDefault="0050780D" w:rsidP="0050780D">
      <w:pPr>
        <w:jc w:val="center"/>
        <w:rPr>
          <w:i/>
          <w:iCs/>
          <w:color w:val="auto"/>
        </w:rPr>
      </w:pPr>
      <w:r w:rsidRPr="004E77E2">
        <w:rPr>
          <w:i/>
          <w:iCs/>
          <w:color w:val="auto"/>
        </w:rPr>
        <w:t xml:space="preserve">(kèm theo Văn bản số        /SXD-KTXD ngày </w:t>
      </w:r>
      <w:r w:rsidR="004E31BA" w:rsidRPr="004E77E2">
        <w:rPr>
          <w:i/>
          <w:iCs/>
          <w:color w:val="auto"/>
        </w:rPr>
        <w:t>05/5/2026</w:t>
      </w:r>
      <w:r w:rsidRPr="004E77E2">
        <w:rPr>
          <w:i/>
          <w:iCs/>
          <w:color w:val="auto"/>
        </w:rPr>
        <w:t xml:space="preserve">  của Sở Xây dựng)</w:t>
      </w:r>
    </w:p>
    <w:p w14:paraId="1A2F9B03" w14:textId="77777777" w:rsidR="0050780D" w:rsidRPr="004E77E2" w:rsidRDefault="0050780D" w:rsidP="0050780D">
      <w:pPr>
        <w:jc w:val="center"/>
        <w:rPr>
          <w:i/>
          <w:iCs/>
          <w:color w:val="auto"/>
        </w:rPr>
      </w:pPr>
    </w:p>
    <w:p w14:paraId="5C281AA0" w14:textId="77777777" w:rsidR="00270D21" w:rsidRPr="004E77E2" w:rsidRDefault="00270D21" w:rsidP="00451F0B">
      <w:pPr>
        <w:spacing w:before="120" w:after="120" w:line="252" w:lineRule="auto"/>
        <w:ind w:firstLine="720"/>
        <w:rPr>
          <w:b/>
          <w:bCs/>
          <w:color w:val="auto"/>
        </w:rPr>
      </w:pPr>
      <w:r w:rsidRPr="004E77E2">
        <w:rPr>
          <w:b/>
          <w:bCs/>
          <w:color w:val="auto"/>
        </w:rPr>
        <w:t>I. CƠ SỞ XÂY DỰNG DỰ THẢO</w:t>
      </w:r>
    </w:p>
    <w:p w14:paraId="51BDB1EF" w14:textId="77777777" w:rsidR="00270D21" w:rsidRPr="004E77E2" w:rsidRDefault="00270D21" w:rsidP="00451F0B">
      <w:pPr>
        <w:tabs>
          <w:tab w:val="num" w:pos="0"/>
        </w:tabs>
        <w:spacing w:before="120" w:after="120" w:line="252" w:lineRule="auto"/>
        <w:ind w:firstLine="709"/>
        <w:jc w:val="both"/>
        <w:rPr>
          <w:color w:val="auto"/>
          <w:spacing w:val="-6"/>
          <w:szCs w:val="28"/>
        </w:rPr>
      </w:pPr>
      <w:bookmarkStart w:id="0" w:name="_Hlk223004673"/>
      <w:r w:rsidRPr="004E77E2">
        <w:rPr>
          <w:color w:val="auto"/>
          <w:spacing w:val="-6"/>
          <w:szCs w:val="28"/>
        </w:rPr>
        <w:t>Căn cứ Luật Tổ chức chính quyền địa phương ngày 16 tháng 6 năm 2025;</w:t>
      </w:r>
    </w:p>
    <w:p w14:paraId="755FED18"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Căn cứ Luật Ban hành văn bản quy phạm pháp luật ngày 19 tháng 02 năm 2025; Luật Sửa đổi, bổ sung một số điều của Luật Ban hành văn bản quy phạm pháp luật ngày 25 tháng 6 năm 2025;</w:t>
      </w:r>
    </w:p>
    <w:p w14:paraId="7C17B8A9"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Căn cứ Luật Xây dựng ngày 18 tháng 6 năm 2014; Luật sửa đổi, bổ sung một số điều của Luật Xây dựng ngày 17 tháng 6 năm 2020;</w:t>
      </w:r>
    </w:p>
    <w:p w14:paraId="351430D8"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Căn cứ Luật Bảo vệ môi trường ngày 17 tháng 11 năm 2020;</w:t>
      </w:r>
    </w:p>
    <w:p w14:paraId="62A29546"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 xml:space="preserve">Căn cứ Nghị định số 78/2025/NĐ-CP ngày 01/4/2025 của Chính phủ quy định chi tiết một số điều và biện pháp để tổ chức, hướng dẫn và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12459139"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 xml:space="preserve">Căn cứ Nghị định số 08/2022/NĐ-CP ngày 10 tháng 01 năm 2022 của Chính phủ quy định chi tiết một số điều của Luật Bảo vệ môi trường; </w:t>
      </w:r>
    </w:p>
    <w:p w14:paraId="11E0F5AD" w14:textId="77777777" w:rsidR="00270D21" w:rsidRPr="004E77E2" w:rsidRDefault="00270D21" w:rsidP="00451F0B">
      <w:pPr>
        <w:tabs>
          <w:tab w:val="num" w:pos="0"/>
        </w:tabs>
        <w:spacing w:before="120" w:after="120" w:line="252" w:lineRule="auto"/>
        <w:ind w:firstLine="709"/>
        <w:jc w:val="both"/>
        <w:rPr>
          <w:color w:val="auto"/>
          <w:spacing w:val="-6"/>
          <w:szCs w:val="28"/>
        </w:rPr>
      </w:pPr>
      <w:r w:rsidRPr="004E77E2">
        <w:rPr>
          <w:color w:val="auto"/>
          <w:spacing w:val="-6"/>
          <w:szCs w:val="28"/>
        </w:rP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7E3DA9A3" w14:textId="77777777" w:rsidR="00270D21" w:rsidRPr="004E77E2" w:rsidRDefault="00270D21" w:rsidP="00451F0B">
      <w:pPr>
        <w:tabs>
          <w:tab w:val="num" w:pos="0"/>
        </w:tabs>
        <w:spacing w:before="120" w:after="120" w:line="252" w:lineRule="auto"/>
        <w:ind w:firstLine="709"/>
        <w:jc w:val="both"/>
        <w:rPr>
          <w:color w:val="auto"/>
          <w:spacing w:val="-6"/>
          <w:szCs w:val="28"/>
        </w:rPr>
      </w:pPr>
      <w:r w:rsidRPr="004E77E2">
        <w:rPr>
          <w:color w:val="auto"/>
          <w:spacing w:val="-6"/>
          <w:szCs w:val="28"/>
        </w:rPr>
        <w:t>Căn cứ Nghị định số 48/2026/NĐ-CP ngày 29 tháng 01 năm 2026 của Chính phủ sửa đổi, bổ sung một số điều của Nghị định số 08/2022/NĐ-CP ngày 10 tháng 01 năm 2022 của Chính phủ quy định chi tiết một số điều của Luật Bảo vệ môi trường được sửa đổi, bổ sung bởi Nghị định số 05/2025/NĐ-CP ngày 06 tháng 01 năm 2025;</w:t>
      </w:r>
    </w:p>
    <w:p w14:paraId="1EA1D079" w14:textId="77777777" w:rsidR="00270D21" w:rsidRPr="004E77E2" w:rsidRDefault="00270D21" w:rsidP="00451F0B">
      <w:pPr>
        <w:tabs>
          <w:tab w:val="num" w:pos="0"/>
        </w:tabs>
        <w:spacing w:before="120" w:after="120" w:line="252" w:lineRule="auto"/>
        <w:ind w:firstLine="709"/>
        <w:jc w:val="both"/>
        <w:rPr>
          <w:color w:val="auto"/>
          <w:spacing w:val="-6"/>
          <w:szCs w:val="28"/>
        </w:rPr>
      </w:pPr>
      <w:r w:rsidRPr="004E77E2">
        <w:rPr>
          <w:color w:val="auto"/>
          <w:spacing w:val="-6"/>
          <w:szCs w:val="28"/>
        </w:rPr>
        <w:t xml:space="preserve">Căn cứ Nghị định số 32/2019/NĐ-CP ngày 10/4/2019 của Chính phủ quy định giao nhiệm vụ, đặt hàng hoặc đấu thầu cung cấp sản phẩm, dịch vụ công sử dụng ngân sách nhà nước từ nguồn kinh phí chi thường xuyên; </w:t>
      </w:r>
    </w:p>
    <w:p w14:paraId="61B3E7EB" w14:textId="4DD50893"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Căn cứ Nghị định số </w:t>
      </w:r>
      <w:hyperlink r:id="rId5" w:tgtFrame="_blank" w:tooltip="Nghị định 60/2021/NĐ-CP" w:history="1">
        <w:r w:rsidRPr="004E77E2">
          <w:rPr>
            <w:color w:val="auto"/>
            <w:szCs w:val="28"/>
          </w:rPr>
          <w:t>60/2021/NĐ-CP</w:t>
        </w:r>
      </w:hyperlink>
      <w:r w:rsidRPr="004E77E2">
        <w:rPr>
          <w:color w:val="auto"/>
          <w:szCs w:val="28"/>
        </w:rPr>
        <w:t> ngày 21/6/2021 của chính phủ quy định cơ chế tự chủ tài chính của đơn vị sự nghiệp công lập;</w:t>
      </w:r>
    </w:p>
    <w:p w14:paraId="40C767FB" w14:textId="537F9CEC"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lastRenderedPageBreak/>
        <w:t xml:space="preserve">Căn cứ Nghị định số 111/2025/NĐ-CP ngày 22/5/2025 của Chính phủ </w:t>
      </w:r>
      <w:bookmarkStart w:id="1" w:name="loai_1_name"/>
      <w:r w:rsidRPr="004E77E2">
        <w:rPr>
          <w:color w:val="auto"/>
          <w:szCs w:val="28"/>
        </w:rPr>
        <w:t>sửa đổi, bổ sung một số điều của Nghị định số </w:t>
      </w:r>
      <w:bookmarkEnd w:id="1"/>
      <w:r w:rsidRPr="004E77E2">
        <w:rPr>
          <w:color w:val="auto"/>
          <w:szCs w:val="28"/>
        </w:rPr>
        <w:fldChar w:fldCharType="begin"/>
      </w:r>
      <w:r w:rsidRPr="004E77E2">
        <w:rPr>
          <w:color w:val="auto"/>
          <w:szCs w:val="28"/>
        </w:rPr>
        <w:instrText>HYPERLINK "https://thuvienphapluat.vn/van-ban/bo-may-hanh-chinh/nghi-dinh-60-2021-nd-cp-co-che-tu-chu-tai-chinh-cua-don-vi-su-nghiep-cong-lap-478766.aspx" \o "Nghị định 60/2021/NĐ-CP" \t "_blank"</w:instrText>
      </w:r>
      <w:r w:rsidRPr="004E77E2">
        <w:rPr>
          <w:color w:val="auto"/>
          <w:szCs w:val="28"/>
        </w:rPr>
      </w:r>
      <w:r w:rsidRPr="004E77E2">
        <w:rPr>
          <w:color w:val="auto"/>
          <w:szCs w:val="28"/>
        </w:rPr>
        <w:fldChar w:fldCharType="separate"/>
      </w:r>
      <w:r w:rsidRPr="004E77E2">
        <w:rPr>
          <w:color w:val="auto"/>
          <w:szCs w:val="28"/>
        </w:rPr>
        <w:t>60/2021/NĐ-CP</w:t>
      </w:r>
      <w:r w:rsidRPr="004E77E2">
        <w:rPr>
          <w:color w:val="auto"/>
          <w:szCs w:val="28"/>
        </w:rPr>
        <w:fldChar w:fldCharType="end"/>
      </w:r>
      <w:r w:rsidRPr="004E77E2">
        <w:rPr>
          <w:color w:val="auto"/>
          <w:szCs w:val="28"/>
        </w:rPr>
        <w:t xml:space="preserve"> ngày 21/6/2021 của chính phủ quy định cơ chế tự chủ tài chính của đơn vị sự nghiệp công lập; </w:t>
      </w:r>
    </w:p>
    <w:p w14:paraId="6671344F"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 xml:space="preserve">Căn cứ Thông tư số 13/2018/TT-BXD ngày 27/12/2018 của Bộ Xây dựng hướng dẫn phương pháp định giá dịch vụ thoát nước; </w:t>
      </w:r>
      <w:bookmarkStart w:id="2" w:name="_Hlk223004695"/>
      <w:bookmarkEnd w:id="0"/>
      <w:r w:rsidRPr="004E77E2">
        <w:rPr>
          <w:color w:val="auto"/>
          <w:szCs w:val="28"/>
        </w:rPr>
        <w:t>Thông tư số 04/2015/TT-BXD ngày 03/4/2015 của Bộ Xây dựng hướng dẫn thi hành một số điều của pháp luật về thoát nước và xử lý nước thải;</w:t>
      </w:r>
    </w:p>
    <w:bookmarkEnd w:id="2"/>
    <w:p w14:paraId="6BAA61DD"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Căn cứ Đề án số 194/ĐA-UBND ngày 31/12/2025 của UBND tỉnh Xây dựng và hoàn thiện hệ thống văn bản quy phạm pháp luật của tỉnh Tuyên Quang;</w:t>
      </w:r>
    </w:p>
    <w:p w14:paraId="02794397"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Căn cứ Văn bản số 1475/UBND-QHĐTXD của UBND tỉnh về việc xây dựng Quyết định quy phạm pháp luật của UBND tỉnh;</w:t>
      </w:r>
    </w:p>
    <w:p w14:paraId="7AC90068" w14:textId="5F0226DF" w:rsidR="00270D21" w:rsidRPr="004E77E2" w:rsidRDefault="00270D21" w:rsidP="00451F0B">
      <w:pPr>
        <w:spacing w:before="120" w:after="120" w:line="252" w:lineRule="auto"/>
        <w:ind w:firstLine="709"/>
        <w:rPr>
          <w:color w:val="auto"/>
        </w:rPr>
      </w:pPr>
      <w:r w:rsidRPr="004E77E2">
        <w:rPr>
          <w:color w:val="auto"/>
        </w:rPr>
        <w:t>Kết quả rà soát, kế thừa các định mức kinh tế – kỹ thuật đã được xây dựng, áp dụng tại tỉnh Tuyên Quang và tỉnh Hà Giang trước khi sáp nhập;</w:t>
      </w:r>
    </w:p>
    <w:p w14:paraId="0C219982" w14:textId="77777777" w:rsidR="00270D21" w:rsidRPr="004E77E2" w:rsidRDefault="00270D21" w:rsidP="00451F0B">
      <w:pPr>
        <w:spacing w:before="120" w:after="120" w:line="252" w:lineRule="auto"/>
        <w:ind w:firstLine="709"/>
        <w:rPr>
          <w:color w:val="auto"/>
        </w:rPr>
      </w:pPr>
      <w:r w:rsidRPr="004E77E2">
        <w:rPr>
          <w:color w:val="auto"/>
        </w:rPr>
        <w:t>Điều kiện thực tế về quản lý, vận hành hệ thống thoát nước và xử lý nước thải đô thị trên địa bàn tỉnh.</w:t>
      </w:r>
    </w:p>
    <w:p w14:paraId="4FAE1713" w14:textId="5D7280AE" w:rsidR="00270D21" w:rsidRPr="004E77E2" w:rsidRDefault="00270D21" w:rsidP="00451F0B">
      <w:pPr>
        <w:spacing w:before="120" w:after="120" w:line="252" w:lineRule="auto"/>
        <w:ind w:firstLine="709"/>
        <w:rPr>
          <w:b/>
          <w:bCs/>
          <w:color w:val="auto"/>
        </w:rPr>
      </w:pPr>
      <w:r w:rsidRPr="004E77E2">
        <w:rPr>
          <w:b/>
          <w:bCs/>
          <w:color w:val="auto"/>
        </w:rPr>
        <w:t>II. SO SÁNH NỘI DUNG CHỦ YẾU</w:t>
      </w:r>
    </w:p>
    <w:p w14:paraId="0313CEAB" w14:textId="77777777" w:rsidR="00C74A4C" w:rsidRPr="004E77E2" w:rsidRDefault="00C74A4C" w:rsidP="00451F0B">
      <w:pPr>
        <w:spacing w:before="120" w:after="120" w:line="252" w:lineRule="auto"/>
        <w:ind w:firstLine="709"/>
        <w:rPr>
          <w:b/>
          <w:bCs/>
          <w:color w:val="auto"/>
        </w:rPr>
      </w:pPr>
      <w:r w:rsidRPr="004E77E2">
        <w:rPr>
          <w:b/>
          <w:bCs/>
          <w:color w:val="auto"/>
        </w:rPr>
        <w:t xml:space="preserve">1. Về phạm vi điều chỉnh: </w:t>
      </w:r>
    </w:p>
    <w:p w14:paraId="3098C39F" w14:textId="6304CFC4" w:rsidR="00C74A4C" w:rsidRPr="004E77E2" w:rsidRDefault="00C74A4C" w:rsidP="00451F0B">
      <w:pPr>
        <w:spacing w:before="120" w:after="120" w:line="252" w:lineRule="auto"/>
        <w:ind w:firstLine="709"/>
        <w:rPr>
          <w:color w:val="auto"/>
        </w:rPr>
      </w:pPr>
      <w:r w:rsidRPr="004E77E2">
        <w:rPr>
          <w:color w:val="auto"/>
        </w:rPr>
        <w:t>- Hiện nay, việc quản lý, vận hành hệ thống thoát nước và xử lý nước thải đô thị tại các địa phương trước khi sáp nhập được thực hiện theo các quy định riêng lẻ, chưa có một văn bản quy phạm pháp luật quy định thống nhất trên phạm vi toàn tỉnh.</w:t>
      </w:r>
    </w:p>
    <w:p w14:paraId="6F957F5A" w14:textId="7B4F29D6" w:rsidR="00C74A4C" w:rsidRPr="004E77E2" w:rsidRDefault="00C74A4C" w:rsidP="00451F0B">
      <w:pPr>
        <w:spacing w:before="120" w:after="120" w:line="252" w:lineRule="auto"/>
        <w:ind w:firstLine="709"/>
        <w:rPr>
          <w:color w:val="auto"/>
        </w:rPr>
      </w:pPr>
      <w:r w:rsidRPr="004E77E2">
        <w:rPr>
          <w:color w:val="auto"/>
        </w:rPr>
        <w:t>- Dự thảo Quyết định quy định phạm vi điều chỉnh áp dụng trên toàn địa bàn tỉnh Tuyên Quang sau sáp nhập, nhằm bảo đảm tính đồng bộ, thống nhất trong công tác quản lý nhà nước và tổ chức cung ứng dịch vụ thoát nước.</w:t>
      </w:r>
    </w:p>
    <w:p w14:paraId="6860B96C" w14:textId="6B8DC565" w:rsidR="00C74A4C" w:rsidRPr="004E77E2" w:rsidRDefault="00C74A4C" w:rsidP="00451F0B">
      <w:pPr>
        <w:spacing w:before="120" w:after="120" w:line="252" w:lineRule="auto"/>
        <w:ind w:left="709"/>
        <w:rPr>
          <w:b/>
          <w:bCs/>
          <w:color w:val="auto"/>
        </w:rPr>
      </w:pPr>
      <w:r w:rsidRPr="004E77E2">
        <w:rPr>
          <w:b/>
          <w:bCs/>
          <w:color w:val="auto"/>
        </w:rPr>
        <w:t>2. Về đối tượng áp dụng</w:t>
      </w:r>
    </w:p>
    <w:p w14:paraId="1EC46772" w14:textId="3529060F" w:rsidR="00C74A4C" w:rsidRPr="004E77E2" w:rsidRDefault="00C74A4C" w:rsidP="00451F0B">
      <w:pPr>
        <w:spacing w:before="120" w:after="120" w:line="252" w:lineRule="auto"/>
        <w:ind w:firstLine="709"/>
        <w:rPr>
          <w:color w:val="auto"/>
        </w:rPr>
      </w:pPr>
      <w:r w:rsidRPr="004E77E2">
        <w:rPr>
          <w:color w:val="auto"/>
        </w:rPr>
        <w:t>- Các quy định trước đây chưa xác định đầy đủ, thống nhất các nhóm đối tượng liên quan trong quá trình quản lý, vận hành hệ thống thoát nước và xử lý nước thải đô thị.</w:t>
      </w:r>
    </w:p>
    <w:p w14:paraId="6FC13469" w14:textId="2D5B1A27" w:rsidR="00C74A4C" w:rsidRPr="004E77E2" w:rsidRDefault="00C74A4C" w:rsidP="00451F0B">
      <w:pPr>
        <w:spacing w:before="120" w:after="120" w:line="252" w:lineRule="auto"/>
        <w:ind w:firstLine="709"/>
        <w:rPr>
          <w:color w:val="auto"/>
        </w:rPr>
      </w:pPr>
      <w:r w:rsidRPr="004E77E2">
        <w:rPr>
          <w:color w:val="auto"/>
        </w:rPr>
        <w:t>- Dự thảo Quyết định đã xác định rõ các nhóm đối tượng áp dụng, bao gồm: cơ quan quản lý nhà nước, đơn vị cung ứng dịch vụ thoát nước và các tổ chức, cá nhân có liên quan, bảo đảm phù hợp với cơ cấu tổ chức bộ máy sau sáp nhập và yêu cầu quản lý thực tế.</w:t>
      </w:r>
    </w:p>
    <w:p w14:paraId="44AA141E" w14:textId="77777777" w:rsidR="00C74A4C" w:rsidRPr="004E77E2" w:rsidRDefault="00C74A4C" w:rsidP="00451F0B">
      <w:pPr>
        <w:spacing w:before="120" w:after="120" w:line="252" w:lineRule="auto"/>
        <w:ind w:firstLine="709"/>
        <w:rPr>
          <w:b/>
          <w:bCs/>
          <w:color w:val="auto"/>
        </w:rPr>
      </w:pPr>
      <w:r w:rsidRPr="004E77E2">
        <w:rPr>
          <w:b/>
          <w:bCs/>
          <w:color w:val="auto"/>
        </w:rPr>
        <w:t>3. Về hệ thống định mức kinh tế – kỹ thuật</w:t>
      </w:r>
    </w:p>
    <w:p w14:paraId="66DE8432" w14:textId="3D17D158" w:rsidR="00C74A4C" w:rsidRPr="004E77E2" w:rsidRDefault="00C74A4C" w:rsidP="00451F0B">
      <w:pPr>
        <w:spacing w:before="120" w:after="120" w:line="252" w:lineRule="auto"/>
        <w:ind w:firstLine="709"/>
        <w:rPr>
          <w:color w:val="auto"/>
        </w:rPr>
      </w:pPr>
      <w:r w:rsidRPr="004E77E2">
        <w:rPr>
          <w:color w:val="auto"/>
        </w:rPr>
        <w:t>- Trước đây, các định mức kinh tế – kỹ thuật chưa được xây dựng đầy đủ hoặc chưa đồng bộ giữa các địa phương, dẫn đến khó khăn trong việc xác định chi phí, giá dịch vụ thoát nước và tổ chức thực hiện.</w:t>
      </w:r>
    </w:p>
    <w:p w14:paraId="01827059" w14:textId="4C507C5F" w:rsidR="00C74A4C" w:rsidRPr="004E77E2" w:rsidRDefault="00C74A4C" w:rsidP="00451F0B">
      <w:pPr>
        <w:spacing w:before="120" w:after="120" w:line="252" w:lineRule="auto"/>
        <w:ind w:firstLine="709"/>
        <w:jc w:val="both"/>
        <w:rPr>
          <w:color w:val="auto"/>
        </w:rPr>
      </w:pPr>
      <w:r w:rsidRPr="004E77E2">
        <w:rPr>
          <w:color w:val="auto"/>
        </w:rPr>
        <w:t xml:space="preserve">- Dự thảo Quyết định ban hành hệ thống định mức kinh tế – kỹ thuật bao gồm các hao phí về vật tư, nhân công và máy móc, thiết bị, được xây dựng trên cơ sở </w:t>
      </w:r>
      <w:r w:rsidRPr="004E77E2">
        <w:rPr>
          <w:color w:val="auto"/>
        </w:rPr>
        <w:lastRenderedPageBreak/>
        <w:t>khảo sát thực tế, kế thừa các kết quả đã có và điều chỉnh phù hợp với điều kiện địa phương, bảo đảm tính khoa học, hợp lý và khả thi.</w:t>
      </w:r>
    </w:p>
    <w:p w14:paraId="553499E2" w14:textId="77777777" w:rsidR="00C74A4C" w:rsidRPr="004E77E2" w:rsidRDefault="00C74A4C" w:rsidP="00451F0B">
      <w:pPr>
        <w:tabs>
          <w:tab w:val="num" w:pos="720"/>
        </w:tabs>
        <w:spacing w:before="120" w:after="120" w:line="252" w:lineRule="auto"/>
        <w:ind w:firstLine="709"/>
        <w:rPr>
          <w:b/>
          <w:bCs/>
          <w:color w:val="auto"/>
        </w:rPr>
      </w:pPr>
      <w:r w:rsidRPr="004E77E2">
        <w:rPr>
          <w:b/>
          <w:bCs/>
          <w:color w:val="auto"/>
        </w:rPr>
        <w:t>4. Về cơ chế áp dụng định mức</w:t>
      </w:r>
    </w:p>
    <w:p w14:paraId="5C6493A1" w14:textId="7FA0C980" w:rsidR="00C74A4C" w:rsidRPr="004E77E2" w:rsidRDefault="00C74A4C" w:rsidP="00451F0B">
      <w:pPr>
        <w:tabs>
          <w:tab w:val="num" w:pos="720"/>
        </w:tabs>
        <w:spacing w:before="120" w:after="120" w:line="252" w:lineRule="auto"/>
        <w:ind w:firstLine="709"/>
        <w:rPr>
          <w:color w:val="auto"/>
        </w:rPr>
      </w:pPr>
      <w:r w:rsidRPr="004E77E2">
        <w:rPr>
          <w:color w:val="auto"/>
        </w:rPr>
        <w:t>- Việc áp dụng định mức trước đây còn thiếu thống nhất, chưa có cơ chế rõ ràng để làm cơ sở triển khai trong thực tế.</w:t>
      </w:r>
    </w:p>
    <w:p w14:paraId="19807D76" w14:textId="1A55947C" w:rsidR="00C74A4C" w:rsidRPr="004E77E2" w:rsidRDefault="00C74A4C" w:rsidP="00451F0B">
      <w:pPr>
        <w:spacing w:before="120" w:after="120" w:line="252" w:lineRule="auto"/>
        <w:ind w:firstLine="709"/>
        <w:rPr>
          <w:color w:val="auto"/>
          <w:spacing w:val="-6"/>
        </w:rPr>
      </w:pPr>
      <w:r w:rsidRPr="004E77E2">
        <w:rPr>
          <w:color w:val="auto"/>
          <w:spacing w:val="-6"/>
        </w:rPr>
        <w:t>- Dự thảo Quyết định quy định việc áp dụng định mức thống nhất trên toàn tỉnh, làm cơ sở để xây dựng đơn giá, giá dịch vụ thoát nước, đồng thời phục vụ công tác quản lý, vận hành hệ thống thoát nước và xử lý nước thải đô thị theo quy định.</w:t>
      </w:r>
    </w:p>
    <w:p w14:paraId="6657AC29" w14:textId="77777777" w:rsidR="00C74A4C" w:rsidRPr="004E77E2" w:rsidRDefault="00C74A4C" w:rsidP="00451F0B">
      <w:pPr>
        <w:tabs>
          <w:tab w:val="num" w:pos="720"/>
        </w:tabs>
        <w:spacing w:before="120" w:after="120" w:line="252" w:lineRule="auto"/>
        <w:ind w:firstLine="709"/>
        <w:rPr>
          <w:b/>
          <w:bCs/>
          <w:color w:val="auto"/>
        </w:rPr>
      </w:pPr>
      <w:r w:rsidRPr="004E77E2">
        <w:rPr>
          <w:b/>
          <w:bCs/>
          <w:color w:val="auto"/>
        </w:rPr>
        <w:t>5. Về tổ chức thực hiện</w:t>
      </w:r>
    </w:p>
    <w:p w14:paraId="1E8CCD1D" w14:textId="69F6F1B4" w:rsidR="00C74A4C" w:rsidRPr="004E77E2" w:rsidRDefault="00C74A4C" w:rsidP="00451F0B">
      <w:pPr>
        <w:tabs>
          <w:tab w:val="num" w:pos="720"/>
        </w:tabs>
        <w:spacing w:before="120" w:after="120" w:line="252" w:lineRule="auto"/>
        <w:ind w:firstLine="709"/>
        <w:rPr>
          <w:color w:val="auto"/>
        </w:rPr>
      </w:pPr>
      <w:r w:rsidRPr="004E77E2">
        <w:rPr>
          <w:color w:val="auto"/>
        </w:rPr>
        <w:t>- Các quy định trước đây chưa quy định cụ thể trách nhiệm của các cơ quan, đơn vị trong việc tổ chức thực hiện.</w:t>
      </w:r>
    </w:p>
    <w:p w14:paraId="1AA5A289" w14:textId="3713A20D" w:rsidR="00C74A4C" w:rsidRPr="004E77E2" w:rsidRDefault="00C74A4C" w:rsidP="00451F0B">
      <w:pPr>
        <w:spacing w:before="120" w:after="120" w:line="252" w:lineRule="auto"/>
        <w:ind w:firstLine="709"/>
        <w:rPr>
          <w:color w:val="auto"/>
        </w:rPr>
      </w:pPr>
      <w:r w:rsidRPr="004E77E2">
        <w:rPr>
          <w:color w:val="auto"/>
        </w:rPr>
        <w:t>- Dự thảo Quyết định đã quy định rõ trách nhiệm của các cơ quan, đơn vị liên quan, trong đó giao Sở Xây dựng là cơ quan đầu mối hướng dẫn, kiểm tra, đôn đốc việc thực hiện; các sở, ngành, địa phương và đơn vị cung ứng dịch vụ có trách nhiệm tổ chức triển khai theo chức năng, nhiệm vụ được giao, bảo đảm tính khả thi và hiệu quả.</w:t>
      </w:r>
    </w:p>
    <w:p w14:paraId="49DBE2C0" w14:textId="41B44E74" w:rsidR="00C74A4C" w:rsidRPr="004E77E2" w:rsidRDefault="00C74A4C" w:rsidP="00451F0B">
      <w:pPr>
        <w:spacing w:before="120" w:after="120" w:line="252" w:lineRule="auto"/>
        <w:ind w:firstLine="709"/>
        <w:rPr>
          <w:i/>
          <w:iCs/>
          <w:color w:val="auto"/>
        </w:rPr>
      </w:pPr>
      <w:r w:rsidRPr="004E77E2">
        <w:rPr>
          <w:i/>
          <w:iCs/>
          <w:color w:val="auto"/>
        </w:rPr>
        <w:t>So sánh các nội dung chủ yếu theo bảng so sánh dưới đây:</w:t>
      </w:r>
    </w:p>
    <w:tbl>
      <w:tblPr>
        <w:tblStyle w:val="TableGrid"/>
        <w:tblW w:w="0" w:type="auto"/>
        <w:tblLook w:val="04A0" w:firstRow="1" w:lastRow="0" w:firstColumn="1" w:lastColumn="0" w:noHBand="0" w:noVBand="1"/>
      </w:tblPr>
      <w:tblGrid>
        <w:gridCol w:w="746"/>
        <w:gridCol w:w="1517"/>
        <w:gridCol w:w="1985"/>
        <w:gridCol w:w="3146"/>
        <w:gridCol w:w="1838"/>
      </w:tblGrid>
      <w:tr w:rsidR="00270D21" w:rsidRPr="004E77E2" w14:paraId="37A38F9F" w14:textId="77777777" w:rsidTr="00451F0B">
        <w:trPr>
          <w:tblHeader/>
        </w:trPr>
        <w:tc>
          <w:tcPr>
            <w:tcW w:w="746" w:type="dxa"/>
            <w:vAlign w:val="center"/>
          </w:tcPr>
          <w:p w14:paraId="41D67FD2" w14:textId="64BBB08B" w:rsidR="00270D21" w:rsidRPr="004E77E2" w:rsidRDefault="00270D21" w:rsidP="00451F0B">
            <w:pPr>
              <w:spacing w:before="120" w:after="120" w:line="252" w:lineRule="auto"/>
              <w:jc w:val="center"/>
              <w:rPr>
                <w:b/>
                <w:bCs/>
                <w:color w:val="auto"/>
                <w:sz w:val="26"/>
                <w:szCs w:val="26"/>
              </w:rPr>
            </w:pPr>
            <w:r w:rsidRPr="004E77E2">
              <w:rPr>
                <w:b/>
                <w:bCs/>
                <w:color w:val="auto"/>
                <w:sz w:val="26"/>
                <w:szCs w:val="26"/>
              </w:rPr>
              <w:t>STT</w:t>
            </w:r>
          </w:p>
        </w:tc>
        <w:tc>
          <w:tcPr>
            <w:tcW w:w="1517" w:type="dxa"/>
            <w:vAlign w:val="center"/>
          </w:tcPr>
          <w:p w14:paraId="5CF2804A" w14:textId="0F4D155D" w:rsidR="00270D21" w:rsidRPr="004E77E2" w:rsidRDefault="00270D21" w:rsidP="00451F0B">
            <w:pPr>
              <w:spacing w:before="120" w:after="120" w:line="252" w:lineRule="auto"/>
              <w:jc w:val="center"/>
              <w:rPr>
                <w:b/>
                <w:bCs/>
                <w:color w:val="auto"/>
                <w:sz w:val="26"/>
                <w:szCs w:val="26"/>
              </w:rPr>
            </w:pPr>
            <w:r w:rsidRPr="004E77E2">
              <w:rPr>
                <w:b/>
                <w:bCs/>
                <w:color w:val="auto"/>
                <w:sz w:val="26"/>
                <w:szCs w:val="26"/>
              </w:rPr>
              <w:t>Nội dung</w:t>
            </w:r>
          </w:p>
        </w:tc>
        <w:tc>
          <w:tcPr>
            <w:tcW w:w="1985" w:type="dxa"/>
            <w:vAlign w:val="center"/>
          </w:tcPr>
          <w:p w14:paraId="5E309164" w14:textId="71605FFA" w:rsidR="00270D21" w:rsidRPr="004E77E2" w:rsidRDefault="00270D21" w:rsidP="00451F0B">
            <w:pPr>
              <w:spacing w:before="120" w:after="120" w:line="252" w:lineRule="auto"/>
              <w:jc w:val="center"/>
              <w:rPr>
                <w:b/>
                <w:bCs/>
                <w:color w:val="auto"/>
                <w:sz w:val="26"/>
                <w:szCs w:val="26"/>
              </w:rPr>
            </w:pPr>
            <w:r w:rsidRPr="004E77E2">
              <w:rPr>
                <w:b/>
                <w:bCs/>
                <w:color w:val="auto"/>
                <w:sz w:val="26"/>
                <w:szCs w:val="26"/>
              </w:rPr>
              <w:t>Quy định hiện hành (nếu có)</w:t>
            </w:r>
          </w:p>
        </w:tc>
        <w:tc>
          <w:tcPr>
            <w:tcW w:w="3146" w:type="dxa"/>
            <w:vAlign w:val="center"/>
          </w:tcPr>
          <w:p w14:paraId="0846827F" w14:textId="698C47C9" w:rsidR="00270D21" w:rsidRPr="004E77E2" w:rsidRDefault="00270D21" w:rsidP="00451F0B">
            <w:pPr>
              <w:spacing w:before="120" w:after="120" w:line="252" w:lineRule="auto"/>
              <w:jc w:val="center"/>
              <w:rPr>
                <w:b/>
                <w:bCs/>
                <w:color w:val="auto"/>
                <w:sz w:val="26"/>
                <w:szCs w:val="26"/>
              </w:rPr>
            </w:pPr>
            <w:r w:rsidRPr="004E77E2">
              <w:rPr>
                <w:b/>
                <w:bCs/>
                <w:color w:val="auto"/>
                <w:sz w:val="26"/>
                <w:szCs w:val="26"/>
              </w:rPr>
              <w:t>Nội dung dự thảo</w:t>
            </w:r>
          </w:p>
        </w:tc>
        <w:tc>
          <w:tcPr>
            <w:tcW w:w="1838" w:type="dxa"/>
            <w:vAlign w:val="center"/>
          </w:tcPr>
          <w:p w14:paraId="1408FB76" w14:textId="7DCF1399" w:rsidR="00270D21" w:rsidRPr="004E77E2" w:rsidRDefault="00270D21" w:rsidP="00451F0B">
            <w:pPr>
              <w:spacing w:before="120" w:after="120" w:line="252" w:lineRule="auto"/>
              <w:jc w:val="center"/>
              <w:rPr>
                <w:b/>
                <w:bCs/>
                <w:color w:val="auto"/>
                <w:sz w:val="26"/>
                <w:szCs w:val="26"/>
              </w:rPr>
            </w:pPr>
            <w:r w:rsidRPr="004E77E2">
              <w:rPr>
                <w:b/>
                <w:bCs/>
                <w:color w:val="auto"/>
                <w:sz w:val="26"/>
                <w:szCs w:val="26"/>
              </w:rPr>
              <w:t>Lý do, cơ sở đề xuất</w:t>
            </w:r>
          </w:p>
        </w:tc>
      </w:tr>
      <w:tr w:rsidR="00270D21" w:rsidRPr="004E77E2" w14:paraId="14BE764A" w14:textId="77777777" w:rsidTr="00C74A4C">
        <w:tc>
          <w:tcPr>
            <w:tcW w:w="746" w:type="dxa"/>
            <w:vAlign w:val="center"/>
          </w:tcPr>
          <w:p w14:paraId="18C9919E" w14:textId="0CBF73F2" w:rsidR="00270D21" w:rsidRPr="004E77E2" w:rsidRDefault="00C74A4C" w:rsidP="00451F0B">
            <w:pPr>
              <w:spacing w:before="120" w:after="120" w:line="252" w:lineRule="auto"/>
              <w:jc w:val="center"/>
              <w:rPr>
                <w:color w:val="auto"/>
                <w:sz w:val="26"/>
                <w:szCs w:val="26"/>
              </w:rPr>
            </w:pPr>
            <w:r w:rsidRPr="004E77E2">
              <w:rPr>
                <w:color w:val="auto"/>
                <w:sz w:val="26"/>
                <w:szCs w:val="26"/>
              </w:rPr>
              <w:t>1</w:t>
            </w:r>
          </w:p>
        </w:tc>
        <w:tc>
          <w:tcPr>
            <w:tcW w:w="1517" w:type="dxa"/>
            <w:vAlign w:val="center"/>
          </w:tcPr>
          <w:p w14:paraId="07E41F7C" w14:textId="5A4A2FD4" w:rsidR="00270D21" w:rsidRPr="004E77E2" w:rsidRDefault="00270D21" w:rsidP="00451F0B">
            <w:pPr>
              <w:spacing w:before="120" w:after="120" w:line="252" w:lineRule="auto"/>
              <w:jc w:val="center"/>
              <w:rPr>
                <w:color w:val="auto"/>
                <w:sz w:val="26"/>
                <w:szCs w:val="26"/>
              </w:rPr>
            </w:pPr>
            <w:r w:rsidRPr="004E77E2">
              <w:rPr>
                <w:color w:val="auto"/>
                <w:sz w:val="26"/>
                <w:szCs w:val="26"/>
              </w:rPr>
              <w:t>Phạm vi điều chỉnh</w:t>
            </w:r>
          </w:p>
        </w:tc>
        <w:tc>
          <w:tcPr>
            <w:tcW w:w="1985" w:type="dxa"/>
            <w:vAlign w:val="center"/>
          </w:tcPr>
          <w:p w14:paraId="55989DA7" w14:textId="25BA2185" w:rsidR="00270D21" w:rsidRPr="004E77E2" w:rsidRDefault="00270D21" w:rsidP="00451F0B">
            <w:pPr>
              <w:spacing w:before="120" w:after="120" w:line="252" w:lineRule="auto"/>
              <w:jc w:val="center"/>
              <w:rPr>
                <w:color w:val="auto"/>
                <w:sz w:val="26"/>
                <w:szCs w:val="26"/>
              </w:rPr>
            </w:pPr>
            <w:r w:rsidRPr="004E77E2">
              <w:rPr>
                <w:color w:val="auto"/>
                <w:sz w:val="26"/>
                <w:szCs w:val="26"/>
              </w:rPr>
              <w:t>Chưa có quy định thống nhất toàn tỉnh</w:t>
            </w:r>
          </w:p>
        </w:tc>
        <w:tc>
          <w:tcPr>
            <w:tcW w:w="3146" w:type="dxa"/>
            <w:vAlign w:val="center"/>
          </w:tcPr>
          <w:p w14:paraId="5AE5060E" w14:textId="697B8044" w:rsidR="00270D21" w:rsidRPr="004E77E2" w:rsidRDefault="00270D21" w:rsidP="00451F0B">
            <w:pPr>
              <w:spacing w:before="120" w:after="120" w:line="252" w:lineRule="auto"/>
              <w:jc w:val="center"/>
              <w:rPr>
                <w:color w:val="auto"/>
                <w:sz w:val="26"/>
                <w:szCs w:val="26"/>
              </w:rPr>
            </w:pPr>
            <w:r w:rsidRPr="004E77E2">
              <w:rPr>
                <w:color w:val="auto"/>
                <w:sz w:val="26"/>
                <w:szCs w:val="26"/>
              </w:rPr>
              <w:t>Quy định phạm vi áp dụng trên toàn địa bàn tỉnh Tuyên Quang (sau sáp nhập)</w:t>
            </w:r>
          </w:p>
        </w:tc>
        <w:tc>
          <w:tcPr>
            <w:tcW w:w="1838" w:type="dxa"/>
            <w:vAlign w:val="center"/>
          </w:tcPr>
          <w:p w14:paraId="1F2620A1" w14:textId="4C2DDEEE" w:rsidR="00270D21" w:rsidRPr="004E77E2" w:rsidRDefault="00270D21" w:rsidP="00451F0B">
            <w:pPr>
              <w:spacing w:before="120" w:after="120" w:line="252" w:lineRule="auto"/>
              <w:jc w:val="center"/>
              <w:rPr>
                <w:color w:val="auto"/>
                <w:sz w:val="26"/>
                <w:szCs w:val="26"/>
              </w:rPr>
            </w:pPr>
            <w:r w:rsidRPr="004E77E2">
              <w:rPr>
                <w:color w:val="auto"/>
                <w:sz w:val="26"/>
                <w:szCs w:val="26"/>
              </w:rPr>
              <w:t>Đảm bảo quản lý thống nhất sau sáp nhập</w:t>
            </w:r>
          </w:p>
        </w:tc>
      </w:tr>
      <w:tr w:rsidR="00270D21" w:rsidRPr="004E77E2" w14:paraId="59C1BA0B" w14:textId="77777777" w:rsidTr="00C74A4C">
        <w:tc>
          <w:tcPr>
            <w:tcW w:w="746" w:type="dxa"/>
            <w:vAlign w:val="center"/>
          </w:tcPr>
          <w:p w14:paraId="69CCB864" w14:textId="50405782" w:rsidR="00270D21" w:rsidRPr="004E77E2" w:rsidRDefault="00C74A4C" w:rsidP="00451F0B">
            <w:pPr>
              <w:spacing w:before="120" w:after="120" w:line="252" w:lineRule="auto"/>
              <w:jc w:val="center"/>
              <w:rPr>
                <w:color w:val="auto"/>
                <w:sz w:val="26"/>
                <w:szCs w:val="26"/>
              </w:rPr>
            </w:pPr>
            <w:r w:rsidRPr="004E77E2">
              <w:rPr>
                <w:color w:val="auto"/>
                <w:sz w:val="26"/>
                <w:szCs w:val="26"/>
              </w:rPr>
              <w:t>2</w:t>
            </w:r>
          </w:p>
        </w:tc>
        <w:tc>
          <w:tcPr>
            <w:tcW w:w="1517" w:type="dxa"/>
            <w:vAlign w:val="center"/>
          </w:tcPr>
          <w:p w14:paraId="6DCAC76A" w14:textId="69484CD0" w:rsidR="00270D21" w:rsidRPr="004E77E2" w:rsidRDefault="00270D21" w:rsidP="00451F0B">
            <w:pPr>
              <w:spacing w:before="120" w:after="120" w:line="252" w:lineRule="auto"/>
              <w:jc w:val="center"/>
              <w:rPr>
                <w:color w:val="auto"/>
                <w:sz w:val="26"/>
                <w:szCs w:val="26"/>
              </w:rPr>
            </w:pPr>
            <w:r w:rsidRPr="004E77E2">
              <w:rPr>
                <w:color w:val="auto"/>
                <w:sz w:val="26"/>
                <w:szCs w:val="26"/>
              </w:rPr>
              <w:t>Đối tượng áp dụng</w:t>
            </w:r>
          </w:p>
        </w:tc>
        <w:tc>
          <w:tcPr>
            <w:tcW w:w="1985" w:type="dxa"/>
            <w:vAlign w:val="center"/>
          </w:tcPr>
          <w:p w14:paraId="17512DB7" w14:textId="20A7249C" w:rsidR="00270D21" w:rsidRPr="004E77E2" w:rsidRDefault="00270D21" w:rsidP="00451F0B">
            <w:pPr>
              <w:spacing w:before="120" w:after="120" w:line="252" w:lineRule="auto"/>
              <w:jc w:val="center"/>
              <w:rPr>
                <w:color w:val="auto"/>
                <w:sz w:val="26"/>
                <w:szCs w:val="26"/>
              </w:rPr>
            </w:pPr>
            <w:r w:rsidRPr="004E77E2">
              <w:rPr>
                <w:color w:val="auto"/>
                <w:sz w:val="26"/>
                <w:szCs w:val="26"/>
              </w:rPr>
              <w:t>Phân tán theo từng địa phương trước đây</w:t>
            </w:r>
          </w:p>
        </w:tc>
        <w:tc>
          <w:tcPr>
            <w:tcW w:w="3146" w:type="dxa"/>
            <w:vAlign w:val="center"/>
          </w:tcPr>
          <w:p w14:paraId="205370DE" w14:textId="68C579FF" w:rsidR="00270D21" w:rsidRPr="004E77E2" w:rsidRDefault="00270D21" w:rsidP="00451F0B">
            <w:pPr>
              <w:spacing w:before="120" w:after="120" w:line="252" w:lineRule="auto"/>
              <w:jc w:val="center"/>
              <w:rPr>
                <w:color w:val="auto"/>
                <w:sz w:val="26"/>
                <w:szCs w:val="26"/>
              </w:rPr>
            </w:pPr>
            <w:r w:rsidRPr="004E77E2">
              <w:rPr>
                <w:color w:val="auto"/>
                <w:sz w:val="26"/>
                <w:szCs w:val="26"/>
              </w:rPr>
              <w:t>Áp dụng cho cơ quan quản lý, đơn vị cung ứng dịch vụ thoát nước và tổ chức, cá nhân liên quan</w:t>
            </w:r>
          </w:p>
        </w:tc>
        <w:tc>
          <w:tcPr>
            <w:tcW w:w="1838" w:type="dxa"/>
            <w:vAlign w:val="center"/>
          </w:tcPr>
          <w:p w14:paraId="3C1DAEA5" w14:textId="66AA7EBA" w:rsidR="00270D21" w:rsidRPr="004E77E2" w:rsidRDefault="00270D21" w:rsidP="00451F0B">
            <w:pPr>
              <w:spacing w:before="120" w:after="120" w:line="252" w:lineRule="auto"/>
              <w:jc w:val="center"/>
              <w:rPr>
                <w:color w:val="auto"/>
                <w:sz w:val="26"/>
                <w:szCs w:val="26"/>
              </w:rPr>
            </w:pPr>
            <w:r w:rsidRPr="004E77E2">
              <w:rPr>
                <w:color w:val="auto"/>
                <w:sz w:val="26"/>
                <w:szCs w:val="26"/>
              </w:rPr>
              <w:t>Phù hợp cơ cấu tổ chức mới</w:t>
            </w:r>
          </w:p>
        </w:tc>
      </w:tr>
      <w:tr w:rsidR="00270D21" w:rsidRPr="004E77E2" w14:paraId="24E6AC49" w14:textId="77777777" w:rsidTr="00C74A4C">
        <w:tc>
          <w:tcPr>
            <w:tcW w:w="746" w:type="dxa"/>
            <w:vAlign w:val="center"/>
          </w:tcPr>
          <w:p w14:paraId="780B2A7C" w14:textId="29A5D434" w:rsidR="00270D21" w:rsidRPr="004E77E2" w:rsidRDefault="00C74A4C" w:rsidP="00451F0B">
            <w:pPr>
              <w:spacing w:before="120" w:after="120" w:line="252" w:lineRule="auto"/>
              <w:jc w:val="center"/>
              <w:rPr>
                <w:color w:val="auto"/>
                <w:sz w:val="26"/>
                <w:szCs w:val="26"/>
              </w:rPr>
            </w:pPr>
            <w:r w:rsidRPr="004E77E2">
              <w:rPr>
                <w:color w:val="auto"/>
                <w:sz w:val="26"/>
                <w:szCs w:val="26"/>
              </w:rPr>
              <w:t>3</w:t>
            </w:r>
          </w:p>
        </w:tc>
        <w:tc>
          <w:tcPr>
            <w:tcW w:w="1517" w:type="dxa"/>
            <w:vAlign w:val="center"/>
          </w:tcPr>
          <w:p w14:paraId="5F69C5DD" w14:textId="2F0F54EF" w:rsidR="00270D21" w:rsidRPr="004E77E2" w:rsidRDefault="00270D21" w:rsidP="00451F0B">
            <w:pPr>
              <w:spacing w:before="120" w:after="120" w:line="252" w:lineRule="auto"/>
              <w:jc w:val="center"/>
              <w:rPr>
                <w:color w:val="auto"/>
                <w:sz w:val="26"/>
                <w:szCs w:val="26"/>
              </w:rPr>
            </w:pPr>
            <w:r w:rsidRPr="004E77E2">
              <w:rPr>
                <w:color w:val="auto"/>
                <w:sz w:val="26"/>
                <w:szCs w:val="26"/>
              </w:rPr>
              <w:t>Hệ thống định mức KTKT</w:t>
            </w:r>
          </w:p>
        </w:tc>
        <w:tc>
          <w:tcPr>
            <w:tcW w:w="1985" w:type="dxa"/>
            <w:vAlign w:val="center"/>
          </w:tcPr>
          <w:p w14:paraId="77D8A1FF" w14:textId="0C268036" w:rsidR="00270D21" w:rsidRPr="004E77E2" w:rsidRDefault="00270D21" w:rsidP="00451F0B">
            <w:pPr>
              <w:spacing w:before="120" w:after="120" w:line="252" w:lineRule="auto"/>
              <w:jc w:val="center"/>
              <w:rPr>
                <w:color w:val="auto"/>
                <w:sz w:val="26"/>
                <w:szCs w:val="26"/>
              </w:rPr>
            </w:pPr>
            <w:r w:rsidRPr="004E77E2">
              <w:rPr>
                <w:color w:val="auto"/>
                <w:sz w:val="26"/>
                <w:szCs w:val="26"/>
              </w:rPr>
              <w:t>Chưa đầy đủ, chưa đồng bộ</w:t>
            </w:r>
          </w:p>
        </w:tc>
        <w:tc>
          <w:tcPr>
            <w:tcW w:w="3146" w:type="dxa"/>
            <w:vAlign w:val="center"/>
          </w:tcPr>
          <w:p w14:paraId="4CCBB75C" w14:textId="2F1478A2" w:rsidR="00270D21" w:rsidRPr="004E77E2" w:rsidRDefault="00270D21" w:rsidP="00451F0B">
            <w:pPr>
              <w:spacing w:before="120" w:after="120" w:line="252" w:lineRule="auto"/>
              <w:jc w:val="center"/>
              <w:rPr>
                <w:color w:val="auto"/>
                <w:sz w:val="26"/>
                <w:szCs w:val="26"/>
              </w:rPr>
            </w:pPr>
            <w:r w:rsidRPr="004E77E2">
              <w:rPr>
                <w:color w:val="auto"/>
                <w:sz w:val="26"/>
                <w:szCs w:val="26"/>
              </w:rPr>
              <w:t>Ban hành hệ thống định mức hao phí vật tư, nhân công, máy móc</w:t>
            </w:r>
          </w:p>
        </w:tc>
        <w:tc>
          <w:tcPr>
            <w:tcW w:w="1838" w:type="dxa"/>
            <w:vAlign w:val="center"/>
          </w:tcPr>
          <w:p w14:paraId="3E462AD9" w14:textId="59AA9993" w:rsidR="00270D21" w:rsidRPr="004E77E2" w:rsidRDefault="00270D21" w:rsidP="00451F0B">
            <w:pPr>
              <w:spacing w:before="120" w:after="120" w:line="252" w:lineRule="auto"/>
              <w:jc w:val="center"/>
              <w:rPr>
                <w:color w:val="auto"/>
                <w:sz w:val="26"/>
                <w:szCs w:val="26"/>
              </w:rPr>
            </w:pPr>
            <w:r w:rsidRPr="004E77E2">
              <w:rPr>
                <w:color w:val="auto"/>
                <w:sz w:val="26"/>
                <w:szCs w:val="26"/>
              </w:rPr>
              <w:t>Làm cơ sở xác định giá dịch vụ</w:t>
            </w:r>
          </w:p>
        </w:tc>
      </w:tr>
      <w:tr w:rsidR="00270D21" w:rsidRPr="004E77E2" w14:paraId="0397628C" w14:textId="77777777" w:rsidTr="00C74A4C">
        <w:tc>
          <w:tcPr>
            <w:tcW w:w="746" w:type="dxa"/>
            <w:vAlign w:val="center"/>
          </w:tcPr>
          <w:p w14:paraId="3444EAA2" w14:textId="59CA898F" w:rsidR="00270D21" w:rsidRPr="004E77E2" w:rsidRDefault="00C74A4C" w:rsidP="00451F0B">
            <w:pPr>
              <w:spacing w:before="120" w:after="120" w:line="252" w:lineRule="auto"/>
              <w:jc w:val="center"/>
              <w:rPr>
                <w:color w:val="auto"/>
                <w:sz w:val="26"/>
                <w:szCs w:val="26"/>
              </w:rPr>
            </w:pPr>
            <w:r w:rsidRPr="004E77E2">
              <w:rPr>
                <w:color w:val="auto"/>
                <w:sz w:val="26"/>
                <w:szCs w:val="26"/>
              </w:rPr>
              <w:t>4</w:t>
            </w:r>
          </w:p>
        </w:tc>
        <w:tc>
          <w:tcPr>
            <w:tcW w:w="1517" w:type="dxa"/>
            <w:vAlign w:val="center"/>
          </w:tcPr>
          <w:p w14:paraId="52EA2636" w14:textId="47C2CC90" w:rsidR="00270D21" w:rsidRPr="004E77E2" w:rsidRDefault="00270D21" w:rsidP="00451F0B">
            <w:pPr>
              <w:spacing w:before="120" w:after="120" w:line="252" w:lineRule="auto"/>
              <w:jc w:val="center"/>
              <w:rPr>
                <w:color w:val="auto"/>
                <w:sz w:val="26"/>
                <w:szCs w:val="26"/>
              </w:rPr>
            </w:pPr>
            <w:r w:rsidRPr="004E77E2">
              <w:rPr>
                <w:color w:val="auto"/>
                <w:sz w:val="26"/>
                <w:szCs w:val="26"/>
              </w:rPr>
              <w:t>Cơ chế áp dụng định mức</w:t>
            </w:r>
          </w:p>
        </w:tc>
        <w:tc>
          <w:tcPr>
            <w:tcW w:w="1985" w:type="dxa"/>
            <w:vAlign w:val="center"/>
          </w:tcPr>
          <w:p w14:paraId="7BC8CBE4" w14:textId="69E81F14" w:rsidR="00270D21" w:rsidRPr="004E77E2" w:rsidRDefault="00270D21" w:rsidP="00451F0B">
            <w:pPr>
              <w:spacing w:before="120" w:after="120" w:line="252" w:lineRule="auto"/>
              <w:jc w:val="center"/>
              <w:rPr>
                <w:color w:val="auto"/>
                <w:sz w:val="26"/>
                <w:szCs w:val="26"/>
              </w:rPr>
            </w:pPr>
            <w:r w:rsidRPr="004E77E2">
              <w:rPr>
                <w:color w:val="auto"/>
                <w:sz w:val="26"/>
                <w:szCs w:val="26"/>
              </w:rPr>
              <w:t>Chưa thống nhất</w:t>
            </w:r>
          </w:p>
        </w:tc>
        <w:tc>
          <w:tcPr>
            <w:tcW w:w="3146" w:type="dxa"/>
            <w:vAlign w:val="center"/>
          </w:tcPr>
          <w:p w14:paraId="6142E7B5" w14:textId="7B8B78C1" w:rsidR="00270D21" w:rsidRPr="004E77E2" w:rsidRDefault="00270D21" w:rsidP="00451F0B">
            <w:pPr>
              <w:spacing w:before="120" w:after="120" w:line="252" w:lineRule="auto"/>
              <w:jc w:val="center"/>
              <w:rPr>
                <w:color w:val="auto"/>
                <w:sz w:val="26"/>
                <w:szCs w:val="26"/>
              </w:rPr>
            </w:pPr>
            <w:r w:rsidRPr="004E77E2">
              <w:rPr>
                <w:color w:val="auto"/>
                <w:sz w:val="26"/>
                <w:szCs w:val="26"/>
              </w:rPr>
              <w:t>Quy định áp dụng thống nhất trong quản lý, vận hành</w:t>
            </w:r>
          </w:p>
        </w:tc>
        <w:tc>
          <w:tcPr>
            <w:tcW w:w="1838" w:type="dxa"/>
            <w:vAlign w:val="center"/>
          </w:tcPr>
          <w:p w14:paraId="5EBFEA96" w14:textId="590B985F" w:rsidR="00270D21" w:rsidRPr="004E77E2" w:rsidRDefault="00270D21" w:rsidP="00451F0B">
            <w:pPr>
              <w:spacing w:before="120" w:after="120" w:line="252" w:lineRule="auto"/>
              <w:jc w:val="center"/>
              <w:rPr>
                <w:color w:val="auto"/>
                <w:sz w:val="26"/>
                <w:szCs w:val="26"/>
              </w:rPr>
            </w:pPr>
            <w:r w:rsidRPr="004E77E2">
              <w:rPr>
                <w:color w:val="auto"/>
                <w:sz w:val="26"/>
                <w:szCs w:val="26"/>
              </w:rPr>
              <w:t>Nâng cao hiệu quả quản lý</w:t>
            </w:r>
          </w:p>
        </w:tc>
      </w:tr>
      <w:tr w:rsidR="00270D21" w:rsidRPr="004E77E2" w14:paraId="421D8D72" w14:textId="77777777" w:rsidTr="00C74A4C">
        <w:tc>
          <w:tcPr>
            <w:tcW w:w="746" w:type="dxa"/>
            <w:vAlign w:val="center"/>
          </w:tcPr>
          <w:p w14:paraId="701EDFB8" w14:textId="4A0C1568" w:rsidR="00270D21" w:rsidRPr="004E77E2" w:rsidRDefault="00C74A4C" w:rsidP="00451F0B">
            <w:pPr>
              <w:spacing w:before="120" w:after="120" w:line="252" w:lineRule="auto"/>
              <w:jc w:val="center"/>
              <w:rPr>
                <w:color w:val="auto"/>
                <w:sz w:val="26"/>
                <w:szCs w:val="26"/>
              </w:rPr>
            </w:pPr>
            <w:r w:rsidRPr="004E77E2">
              <w:rPr>
                <w:color w:val="auto"/>
                <w:sz w:val="26"/>
                <w:szCs w:val="26"/>
              </w:rPr>
              <w:t>5</w:t>
            </w:r>
          </w:p>
        </w:tc>
        <w:tc>
          <w:tcPr>
            <w:tcW w:w="1517" w:type="dxa"/>
            <w:vAlign w:val="center"/>
          </w:tcPr>
          <w:p w14:paraId="6B7997D8" w14:textId="71E002DF" w:rsidR="00270D21" w:rsidRPr="004E77E2" w:rsidRDefault="00270D21" w:rsidP="00451F0B">
            <w:pPr>
              <w:spacing w:before="120" w:after="120" w:line="252" w:lineRule="auto"/>
              <w:jc w:val="center"/>
              <w:rPr>
                <w:color w:val="auto"/>
                <w:sz w:val="26"/>
                <w:szCs w:val="26"/>
              </w:rPr>
            </w:pPr>
            <w:r w:rsidRPr="004E77E2">
              <w:rPr>
                <w:color w:val="auto"/>
                <w:sz w:val="26"/>
                <w:szCs w:val="26"/>
              </w:rPr>
              <w:t>Tổ chức thực hiện</w:t>
            </w:r>
          </w:p>
        </w:tc>
        <w:tc>
          <w:tcPr>
            <w:tcW w:w="1985" w:type="dxa"/>
            <w:vAlign w:val="center"/>
          </w:tcPr>
          <w:p w14:paraId="32C31901" w14:textId="70A4E23A" w:rsidR="00270D21" w:rsidRPr="004E77E2" w:rsidRDefault="00270D21" w:rsidP="00451F0B">
            <w:pPr>
              <w:spacing w:before="120" w:after="120" w:line="252" w:lineRule="auto"/>
              <w:jc w:val="center"/>
              <w:rPr>
                <w:color w:val="auto"/>
                <w:sz w:val="26"/>
                <w:szCs w:val="26"/>
              </w:rPr>
            </w:pPr>
            <w:r w:rsidRPr="004E77E2">
              <w:rPr>
                <w:color w:val="auto"/>
                <w:sz w:val="26"/>
                <w:szCs w:val="26"/>
              </w:rPr>
              <w:t>Chưa rõ trách nhiệm</w:t>
            </w:r>
          </w:p>
        </w:tc>
        <w:tc>
          <w:tcPr>
            <w:tcW w:w="3146" w:type="dxa"/>
            <w:vAlign w:val="center"/>
          </w:tcPr>
          <w:p w14:paraId="01A3059F" w14:textId="2673F889" w:rsidR="00270D21" w:rsidRPr="004E77E2" w:rsidRDefault="00270D21" w:rsidP="00451F0B">
            <w:pPr>
              <w:spacing w:before="120" w:after="120" w:line="252" w:lineRule="auto"/>
              <w:jc w:val="center"/>
              <w:rPr>
                <w:color w:val="auto"/>
                <w:sz w:val="26"/>
                <w:szCs w:val="26"/>
              </w:rPr>
            </w:pPr>
            <w:r w:rsidRPr="004E77E2">
              <w:rPr>
                <w:color w:val="auto"/>
                <w:sz w:val="26"/>
                <w:szCs w:val="26"/>
              </w:rPr>
              <w:t>Quy định trách nhiệm của các cơ quan liên quan</w:t>
            </w:r>
          </w:p>
        </w:tc>
        <w:tc>
          <w:tcPr>
            <w:tcW w:w="1838" w:type="dxa"/>
            <w:vAlign w:val="center"/>
          </w:tcPr>
          <w:p w14:paraId="661B5876" w14:textId="5BC90759" w:rsidR="00270D21" w:rsidRPr="004E77E2" w:rsidRDefault="00270D21" w:rsidP="00451F0B">
            <w:pPr>
              <w:spacing w:before="120" w:after="120" w:line="252" w:lineRule="auto"/>
              <w:jc w:val="center"/>
              <w:rPr>
                <w:color w:val="auto"/>
                <w:sz w:val="26"/>
                <w:szCs w:val="26"/>
              </w:rPr>
            </w:pPr>
            <w:r w:rsidRPr="004E77E2">
              <w:rPr>
                <w:color w:val="auto"/>
                <w:sz w:val="26"/>
                <w:szCs w:val="26"/>
              </w:rPr>
              <w:t>Bảo đảm khả thi khi triển khai</w:t>
            </w:r>
          </w:p>
        </w:tc>
      </w:tr>
    </w:tbl>
    <w:p w14:paraId="3598826C" w14:textId="77777777" w:rsidR="00C74A4C" w:rsidRPr="004E77E2" w:rsidRDefault="00C74A4C" w:rsidP="00A3356F">
      <w:pPr>
        <w:spacing w:before="120" w:after="120" w:line="252" w:lineRule="auto"/>
        <w:ind w:firstLine="709"/>
        <w:jc w:val="both"/>
        <w:rPr>
          <w:color w:val="auto"/>
        </w:rPr>
      </w:pPr>
      <w:r w:rsidRPr="004E77E2">
        <w:rPr>
          <w:b/>
          <w:bCs/>
          <w:i/>
          <w:iCs/>
          <w:color w:val="auto"/>
        </w:rPr>
        <w:lastRenderedPageBreak/>
        <w:t>* Đánh giá chung:</w:t>
      </w:r>
      <w:r w:rsidRPr="004E77E2">
        <w:rPr>
          <w:color w:val="auto"/>
        </w:rPr>
        <w:t xml:space="preserve"> Các nội dung sửa đổi, bổ sung trong dự thảo Quyết định là cần thiết, phù hợp với quy định của pháp luật hiện hành và tình hình thực tế của địa phương; góp phần hoàn thiện cơ sở pháp lý, nâng cao hiệu quả quản lý nhà nước và chất lượng cung ứng dịch vụ thoát nước trên địa bàn tỉnh.</w:t>
      </w:r>
    </w:p>
    <w:p w14:paraId="6440B99C" w14:textId="6B98C3E3" w:rsidR="00270D21" w:rsidRPr="004E77E2" w:rsidRDefault="00270D21" w:rsidP="00451F0B">
      <w:pPr>
        <w:tabs>
          <w:tab w:val="num" w:pos="0"/>
        </w:tabs>
        <w:spacing w:before="120" w:after="120" w:line="252" w:lineRule="auto"/>
        <w:ind w:firstLine="709"/>
        <w:jc w:val="both"/>
        <w:rPr>
          <w:b/>
          <w:bCs/>
          <w:color w:val="auto"/>
          <w:szCs w:val="28"/>
        </w:rPr>
      </w:pPr>
      <w:r w:rsidRPr="004E77E2">
        <w:rPr>
          <w:b/>
          <w:bCs/>
          <w:color w:val="auto"/>
          <w:szCs w:val="28"/>
        </w:rPr>
        <w:t>III. THUYẾT MINH NỘI DUNG CHÍNH</w:t>
      </w:r>
    </w:p>
    <w:p w14:paraId="221D7F8C" w14:textId="5F0CB138" w:rsidR="00270D21" w:rsidRPr="004E77E2" w:rsidRDefault="00C74A4C" w:rsidP="00451F0B">
      <w:pPr>
        <w:tabs>
          <w:tab w:val="num" w:pos="0"/>
          <w:tab w:val="num" w:pos="720"/>
        </w:tabs>
        <w:spacing w:before="120" w:after="120" w:line="252" w:lineRule="auto"/>
        <w:ind w:firstLine="709"/>
        <w:jc w:val="both"/>
        <w:rPr>
          <w:color w:val="auto"/>
          <w:szCs w:val="28"/>
        </w:rPr>
      </w:pPr>
      <w:r w:rsidRPr="004E77E2">
        <w:rPr>
          <w:b/>
          <w:bCs/>
          <w:color w:val="auto"/>
          <w:szCs w:val="28"/>
        </w:rPr>
        <w:t xml:space="preserve">1. </w:t>
      </w:r>
      <w:r w:rsidR="00270D21" w:rsidRPr="004E77E2">
        <w:rPr>
          <w:b/>
          <w:bCs/>
          <w:color w:val="auto"/>
          <w:szCs w:val="28"/>
        </w:rPr>
        <w:t>Về phạm vi điều chỉnh</w:t>
      </w:r>
      <w:r w:rsidRPr="004E77E2">
        <w:rPr>
          <w:b/>
          <w:bCs/>
          <w:color w:val="auto"/>
          <w:szCs w:val="28"/>
        </w:rPr>
        <w:t xml:space="preserve">: </w:t>
      </w:r>
      <w:r w:rsidR="00270D21" w:rsidRPr="004E77E2">
        <w:rPr>
          <w:color w:val="auto"/>
          <w:szCs w:val="28"/>
        </w:rPr>
        <w:t>Dự thảo mở rộng phạm vi áp dụng trên toàn địa bàn tỉnh Tuyên Quang sau sáp nhập, thay thế cách tiếp cận theo từng địa phương trước đây, nhằm bảo đảm tính thống nhất trong quản lý.</w:t>
      </w:r>
    </w:p>
    <w:p w14:paraId="60B2EA96" w14:textId="1D522159" w:rsidR="00270D21" w:rsidRPr="004E77E2" w:rsidRDefault="00C74A4C" w:rsidP="00451F0B">
      <w:pPr>
        <w:tabs>
          <w:tab w:val="num" w:pos="0"/>
          <w:tab w:val="num" w:pos="720"/>
        </w:tabs>
        <w:spacing w:before="120" w:after="120" w:line="252" w:lineRule="auto"/>
        <w:ind w:firstLine="709"/>
        <w:jc w:val="both"/>
        <w:rPr>
          <w:color w:val="auto"/>
          <w:szCs w:val="28"/>
        </w:rPr>
      </w:pPr>
      <w:r w:rsidRPr="004E77E2">
        <w:rPr>
          <w:b/>
          <w:bCs/>
          <w:color w:val="auto"/>
          <w:szCs w:val="28"/>
        </w:rPr>
        <w:t xml:space="preserve">2. </w:t>
      </w:r>
      <w:r w:rsidR="00270D21" w:rsidRPr="004E77E2">
        <w:rPr>
          <w:b/>
          <w:bCs/>
          <w:color w:val="auto"/>
          <w:szCs w:val="28"/>
        </w:rPr>
        <w:t>Về đối tượng áp dụng</w:t>
      </w:r>
      <w:r w:rsidRPr="004E77E2">
        <w:rPr>
          <w:b/>
          <w:bCs/>
          <w:color w:val="auto"/>
          <w:szCs w:val="28"/>
        </w:rPr>
        <w:t xml:space="preserve">: </w:t>
      </w:r>
      <w:r w:rsidR="00270D21" w:rsidRPr="004E77E2">
        <w:rPr>
          <w:color w:val="auto"/>
          <w:szCs w:val="28"/>
        </w:rPr>
        <w:t>Quy định rõ các nhóm đối tượng liên quan, bao gồm cơ quan quản lý nhà nước, đơn vị cung ứng dịch vụ thoát nước và các tổ chức, cá nhân có liên quan.</w:t>
      </w:r>
    </w:p>
    <w:p w14:paraId="4ADE5655" w14:textId="1E6AD33E" w:rsidR="00270D21" w:rsidRPr="004E77E2" w:rsidRDefault="00C74A4C" w:rsidP="00451F0B">
      <w:pPr>
        <w:tabs>
          <w:tab w:val="num" w:pos="0"/>
          <w:tab w:val="num" w:pos="720"/>
        </w:tabs>
        <w:spacing w:before="120" w:after="120" w:line="252" w:lineRule="auto"/>
        <w:ind w:firstLine="709"/>
        <w:jc w:val="both"/>
        <w:rPr>
          <w:color w:val="auto"/>
          <w:szCs w:val="28"/>
        </w:rPr>
      </w:pPr>
      <w:r w:rsidRPr="004E77E2">
        <w:rPr>
          <w:b/>
          <w:bCs/>
          <w:color w:val="auto"/>
          <w:szCs w:val="28"/>
        </w:rPr>
        <w:t xml:space="preserve">3. </w:t>
      </w:r>
      <w:r w:rsidR="00270D21" w:rsidRPr="004E77E2">
        <w:rPr>
          <w:b/>
          <w:bCs/>
          <w:color w:val="auto"/>
          <w:szCs w:val="28"/>
        </w:rPr>
        <w:t>Về nội dung định mức kinh tế – kỹ thuật</w:t>
      </w:r>
      <w:r w:rsidRPr="004E77E2">
        <w:rPr>
          <w:b/>
          <w:bCs/>
          <w:color w:val="auto"/>
          <w:szCs w:val="28"/>
        </w:rPr>
        <w:t xml:space="preserve">: </w:t>
      </w:r>
      <w:r w:rsidR="00270D21" w:rsidRPr="004E77E2">
        <w:rPr>
          <w:color w:val="auto"/>
          <w:szCs w:val="28"/>
        </w:rPr>
        <w:t>Hệ thống định mức được xây dựng trên cơ sở khảo sát thực tế, kế thừa các kết quả đã có, đồng thời điều chỉnh, bổ sung cho phù hợp với điều kiện địa phương, bảo đảm tính khả thi và hiệu quả.</w:t>
      </w:r>
    </w:p>
    <w:p w14:paraId="4EA2CC8D" w14:textId="12B2C281" w:rsidR="00270D21" w:rsidRPr="004E77E2" w:rsidRDefault="00C74A4C" w:rsidP="00451F0B">
      <w:pPr>
        <w:tabs>
          <w:tab w:val="num" w:pos="0"/>
          <w:tab w:val="num" w:pos="720"/>
        </w:tabs>
        <w:spacing w:before="120" w:after="120" w:line="252" w:lineRule="auto"/>
        <w:ind w:firstLine="709"/>
        <w:jc w:val="both"/>
        <w:rPr>
          <w:color w:val="auto"/>
          <w:szCs w:val="28"/>
        </w:rPr>
      </w:pPr>
      <w:r w:rsidRPr="004E77E2">
        <w:rPr>
          <w:b/>
          <w:bCs/>
          <w:color w:val="auto"/>
          <w:szCs w:val="28"/>
        </w:rPr>
        <w:t xml:space="preserve">4. </w:t>
      </w:r>
      <w:r w:rsidR="00270D21" w:rsidRPr="004E77E2">
        <w:rPr>
          <w:b/>
          <w:bCs/>
          <w:color w:val="auto"/>
          <w:szCs w:val="28"/>
        </w:rPr>
        <w:t>Về tính hợp pháp, hợp lý</w:t>
      </w:r>
      <w:r w:rsidRPr="004E77E2">
        <w:rPr>
          <w:b/>
          <w:bCs/>
          <w:color w:val="auto"/>
          <w:szCs w:val="28"/>
        </w:rPr>
        <w:t xml:space="preserve">: </w:t>
      </w:r>
      <w:r w:rsidR="00270D21" w:rsidRPr="004E77E2">
        <w:rPr>
          <w:color w:val="auto"/>
          <w:szCs w:val="28"/>
        </w:rPr>
        <w:t>Nội dung dự thảo phù hợp với quy định của pháp luật hiện hành, không trái với văn bản quy phạm pháp luật của cơ quan nhà nước cấp trên, bảo đảm tính thống nhất trong hệ thống pháp luật.</w:t>
      </w:r>
    </w:p>
    <w:p w14:paraId="568E169C" w14:textId="09E8B9AB" w:rsidR="00270D21" w:rsidRPr="004E77E2" w:rsidRDefault="00C74A4C" w:rsidP="00451F0B">
      <w:pPr>
        <w:tabs>
          <w:tab w:val="num" w:pos="0"/>
          <w:tab w:val="num" w:pos="720"/>
        </w:tabs>
        <w:spacing w:before="120" w:after="120" w:line="252" w:lineRule="auto"/>
        <w:ind w:firstLine="709"/>
        <w:jc w:val="both"/>
        <w:rPr>
          <w:color w:val="auto"/>
          <w:szCs w:val="28"/>
        </w:rPr>
      </w:pPr>
      <w:r w:rsidRPr="004E77E2">
        <w:rPr>
          <w:b/>
          <w:bCs/>
          <w:color w:val="auto"/>
          <w:szCs w:val="28"/>
        </w:rPr>
        <w:t xml:space="preserve">5. </w:t>
      </w:r>
      <w:r w:rsidR="00270D21" w:rsidRPr="004E77E2">
        <w:rPr>
          <w:b/>
          <w:bCs/>
          <w:color w:val="auto"/>
          <w:szCs w:val="28"/>
        </w:rPr>
        <w:t>Về tính khả thi</w:t>
      </w:r>
      <w:r w:rsidRPr="004E77E2">
        <w:rPr>
          <w:b/>
          <w:bCs/>
          <w:color w:val="auto"/>
          <w:szCs w:val="28"/>
        </w:rPr>
        <w:t xml:space="preserve">: </w:t>
      </w:r>
      <w:r w:rsidR="00270D21" w:rsidRPr="004E77E2">
        <w:rPr>
          <w:color w:val="auto"/>
          <w:szCs w:val="28"/>
        </w:rPr>
        <w:t>Dự thảo không làm phát sinh tổ chức bộ máy, sử dụng nguồn lực hiện có; nội dung định mức phù hợp với điều kiện thực tế, có thể áp dụng ngay sau khi ban hành.</w:t>
      </w:r>
    </w:p>
    <w:p w14:paraId="21B4FD18" w14:textId="77777777" w:rsidR="00270D21" w:rsidRPr="004E77E2" w:rsidRDefault="00270D21" w:rsidP="00451F0B">
      <w:pPr>
        <w:tabs>
          <w:tab w:val="num" w:pos="0"/>
        </w:tabs>
        <w:spacing w:before="120" w:after="120" w:line="252" w:lineRule="auto"/>
        <w:ind w:firstLine="709"/>
        <w:jc w:val="both"/>
        <w:rPr>
          <w:b/>
          <w:bCs/>
          <w:color w:val="auto"/>
          <w:szCs w:val="28"/>
        </w:rPr>
      </w:pPr>
      <w:r w:rsidRPr="004E77E2">
        <w:rPr>
          <w:b/>
          <w:bCs/>
          <w:color w:val="auto"/>
          <w:szCs w:val="28"/>
        </w:rPr>
        <w:t>IV. ĐÁNH GIÁ TÁC ĐỘNG</w:t>
      </w:r>
    </w:p>
    <w:p w14:paraId="375E4DB2" w14:textId="40279C01" w:rsidR="00270D21" w:rsidRPr="004E77E2" w:rsidRDefault="00C74A4C" w:rsidP="00451F0B">
      <w:pPr>
        <w:tabs>
          <w:tab w:val="num" w:pos="0"/>
          <w:tab w:val="num" w:pos="720"/>
        </w:tabs>
        <w:spacing w:before="120" w:after="120" w:line="252" w:lineRule="auto"/>
        <w:ind w:firstLine="709"/>
        <w:jc w:val="both"/>
        <w:rPr>
          <w:b/>
          <w:bCs/>
          <w:color w:val="auto"/>
          <w:szCs w:val="28"/>
        </w:rPr>
      </w:pPr>
      <w:r w:rsidRPr="004E77E2">
        <w:rPr>
          <w:b/>
          <w:bCs/>
          <w:color w:val="auto"/>
          <w:szCs w:val="28"/>
        </w:rPr>
        <w:t xml:space="preserve">1. </w:t>
      </w:r>
      <w:r w:rsidR="00270D21" w:rsidRPr="004E77E2">
        <w:rPr>
          <w:b/>
          <w:bCs/>
          <w:color w:val="auto"/>
          <w:szCs w:val="28"/>
        </w:rPr>
        <w:t>Tác động tích cực</w:t>
      </w:r>
    </w:p>
    <w:p w14:paraId="37D7868C" w14:textId="46845696" w:rsidR="00270D21" w:rsidRPr="004E77E2" w:rsidRDefault="00C74A4C" w:rsidP="00451F0B">
      <w:pPr>
        <w:tabs>
          <w:tab w:val="num" w:pos="0"/>
          <w:tab w:val="num" w:pos="1440"/>
        </w:tabs>
        <w:spacing w:before="120" w:after="120" w:line="252" w:lineRule="auto"/>
        <w:ind w:firstLine="709"/>
        <w:jc w:val="both"/>
        <w:rPr>
          <w:color w:val="auto"/>
          <w:szCs w:val="28"/>
        </w:rPr>
      </w:pPr>
      <w:r w:rsidRPr="004E77E2">
        <w:rPr>
          <w:color w:val="auto"/>
          <w:szCs w:val="28"/>
        </w:rPr>
        <w:t xml:space="preserve">- </w:t>
      </w:r>
      <w:r w:rsidR="00270D21" w:rsidRPr="004E77E2">
        <w:rPr>
          <w:color w:val="auto"/>
          <w:szCs w:val="28"/>
        </w:rPr>
        <w:t>Tạo cơ sở pháp lý đầy đủ để xây dựng giá dịch vụ thoát nước;</w:t>
      </w:r>
    </w:p>
    <w:p w14:paraId="62517D60" w14:textId="71DDAC43" w:rsidR="00270D21" w:rsidRPr="004E77E2" w:rsidRDefault="00C74A4C" w:rsidP="00451F0B">
      <w:pPr>
        <w:tabs>
          <w:tab w:val="num" w:pos="0"/>
          <w:tab w:val="num" w:pos="1440"/>
        </w:tabs>
        <w:spacing w:before="120" w:after="120" w:line="252" w:lineRule="auto"/>
        <w:ind w:firstLine="709"/>
        <w:jc w:val="both"/>
        <w:rPr>
          <w:color w:val="auto"/>
          <w:szCs w:val="28"/>
        </w:rPr>
      </w:pPr>
      <w:r w:rsidRPr="004E77E2">
        <w:rPr>
          <w:color w:val="auto"/>
          <w:szCs w:val="28"/>
        </w:rPr>
        <w:t xml:space="preserve">- </w:t>
      </w:r>
      <w:r w:rsidR="00270D21" w:rsidRPr="004E77E2">
        <w:rPr>
          <w:color w:val="auto"/>
          <w:szCs w:val="28"/>
        </w:rPr>
        <w:t>Nâng cao hiệu quả quản lý, vận hành hệ thống thoát nước;</w:t>
      </w:r>
    </w:p>
    <w:p w14:paraId="6B43C7E1" w14:textId="3FC54286" w:rsidR="00270D21" w:rsidRPr="004E77E2" w:rsidRDefault="00C74A4C" w:rsidP="00451F0B">
      <w:pPr>
        <w:tabs>
          <w:tab w:val="num" w:pos="0"/>
          <w:tab w:val="num" w:pos="1440"/>
        </w:tabs>
        <w:spacing w:before="120" w:after="120" w:line="252" w:lineRule="auto"/>
        <w:ind w:firstLine="709"/>
        <w:jc w:val="both"/>
        <w:rPr>
          <w:color w:val="auto"/>
          <w:szCs w:val="28"/>
        </w:rPr>
      </w:pPr>
      <w:r w:rsidRPr="004E77E2">
        <w:rPr>
          <w:color w:val="auto"/>
          <w:szCs w:val="28"/>
        </w:rPr>
        <w:t xml:space="preserve">- </w:t>
      </w:r>
      <w:r w:rsidR="00270D21" w:rsidRPr="004E77E2">
        <w:rPr>
          <w:color w:val="auto"/>
          <w:szCs w:val="28"/>
        </w:rPr>
        <w:t>Bảo đảm tính minh bạch, thống nhất trong áp dụng định mức.</w:t>
      </w:r>
    </w:p>
    <w:p w14:paraId="2257F42F" w14:textId="54EA472D" w:rsidR="00270D21" w:rsidRPr="004E77E2" w:rsidRDefault="00C74A4C" w:rsidP="00451F0B">
      <w:pPr>
        <w:tabs>
          <w:tab w:val="num" w:pos="0"/>
          <w:tab w:val="num" w:pos="720"/>
        </w:tabs>
        <w:spacing w:before="120" w:after="120" w:line="252" w:lineRule="auto"/>
        <w:ind w:firstLine="709"/>
        <w:jc w:val="both"/>
        <w:rPr>
          <w:color w:val="auto"/>
          <w:szCs w:val="28"/>
        </w:rPr>
      </w:pPr>
      <w:r w:rsidRPr="004E77E2">
        <w:rPr>
          <w:b/>
          <w:bCs/>
          <w:color w:val="auto"/>
          <w:szCs w:val="28"/>
        </w:rPr>
        <w:t xml:space="preserve">2. </w:t>
      </w:r>
      <w:r w:rsidR="00270D21" w:rsidRPr="004E77E2">
        <w:rPr>
          <w:b/>
          <w:bCs/>
          <w:color w:val="auto"/>
          <w:szCs w:val="28"/>
        </w:rPr>
        <w:t>Tác động tiêu cực (nếu có)</w:t>
      </w:r>
      <w:r w:rsidRPr="004E77E2">
        <w:rPr>
          <w:b/>
          <w:bCs/>
          <w:color w:val="auto"/>
          <w:szCs w:val="28"/>
        </w:rPr>
        <w:t xml:space="preserve">: </w:t>
      </w:r>
      <w:r w:rsidR="00270D21" w:rsidRPr="004E77E2">
        <w:rPr>
          <w:color w:val="auto"/>
          <w:szCs w:val="28"/>
        </w:rPr>
        <w:t>Không đáng kể; trong quá trình triển khai có thể phát sinh vướng mắc kỹ thuật nhỏ, sẽ được rà soát, điều chỉnh kịp thời.</w:t>
      </w:r>
    </w:p>
    <w:p w14:paraId="51C00C60" w14:textId="77777777" w:rsidR="00270D21" w:rsidRPr="004E77E2" w:rsidRDefault="00270D21" w:rsidP="00451F0B">
      <w:pPr>
        <w:tabs>
          <w:tab w:val="num" w:pos="0"/>
        </w:tabs>
        <w:spacing w:before="120" w:after="120" w:line="252" w:lineRule="auto"/>
        <w:ind w:firstLine="709"/>
        <w:jc w:val="both"/>
        <w:rPr>
          <w:b/>
          <w:bCs/>
          <w:color w:val="auto"/>
          <w:szCs w:val="28"/>
        </w:rPr>
      </w:pPr>
      <w:r w:rsidRPr="004E77E2">
        <w:rPr>
          <w:b/>
          <w:bCs/>
          <w:color w:val="auto"/>
          <w:szCs w:val="28"/>
        </w:rPr>
        <w:t>V. KẾT LUẬN</w:t>
      </w:r>
    </w:p>
    <w:p w14:paraId="4FA7AE25" w14:textId="77777777" w:rsidR="00270D21" w:rsidRPr="004E77E2" w:rsidRDefault="00270D21" w:rsidP="00451F0B">
      <w:pPr>
        <w:tabs>
          <w:tab w:val="num" w:pos="0"/>
        </w:tabs>
        <w:spacing w:before="120" w:after="120" w:line="252" w:lineRule="auto"/>
        <w:ind w:firstLine="709"/>
        <w:jc w:val="both"/>
        <w:rPr>
          <w:color w:val="auto"/>
          <w:szCs w:val="28"/>
        </w:rPr>
      </w:pPr>
      <w:r w:rsidRPr="004E77E2">
        <w:rPr>
          <w:color w:val="auto"/>
          <w:szCs w:val="28"/>
        </w:rPr>
        <w:t>Dự thảo Quyết định bảo đảm đầy đủ cơ sở pháp lý, phù hợp thực tiễn, có tính khả thi cao. Việc ban hành là cần thiết nhằm phục vụ công tác quản lý nhà nước và tổ chức cung ứng dịch vụ thoát nước trên địa bàn tỉnh.</w:t>
      </w:r>
    </w:p>
    <w:p w14:paraId="77E82D7B" w14:textId="77777777" w:rsidR="00C74A4C" w:rsidRPr="004E77E2" w:rsidRDefault="00C74A4C" w:rsidP="00270D21">
      <w:pPr>
        <w:tabs>
          <w:tab w:val="num" w:pos="0"/>
        </w:tabs>
        <w:spacing w:before="120" w:after="120"/>
        <w:ind w:firstLine="709"/>
        <w:jc w:val="both"/>
        <w:rPr>
          <w:color w:val="auto"/>
          <w:szCs w:val="28"/>
        </w:rPr>
      </w:pPr>
    </w:p>
    <w:p w14:paraId="2CDF35D7" w14:textId="77777777" w:rsidR="00DC1849" w:rsidRPr="004E77E2" w:rsidRDefault="00DC1849">
      <w:pPr>
        <w:rPr>
          <w:color w:val="auto"/>
        </w:rPr>
      </w:pPr>
    </w:p>
    <w:sectPr w:rsidR="00DC1849" w:rsidRPr="004E77E2" w:rsidSect="0046426A">
      <w:pgSz w:w="11907" w:h="16840" w:code="9"/>
      <w:pgMar w:top="964" w:right="964" w:bottom="964" w:left="1701" w:header="454"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5421"/>
    <w:multiLevelType w:val="multilevel"/>
    <w:tmpl w:val="7F02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17D45"/>
    <w:multiLevelType w:val="multilevel"/>
    <w:tmpl w:val="0652D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304E0"/>
    <w:multiLevelType w:val="multilevel"/>
    <w:tmpl w:val="88F6B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454F95"/>
    <w:multiLevelType w:val="multilevel"/>
    <w:tmpl w:val="8FB4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D713C9"/>
    <w:multiLevelType w:val="multilevel"/>
    <w:tmpl w:val="95D0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F4057"/>
    <w:multiLevelType w:val="multilevel"/>
    <w:tmpl w:val="03366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159D1"/>
    <w:multiLevelType w:val="multilevel"/>
    <w:tmpl w:val="C4B85B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5E1A21"/>
    <w:multiLevelType w:val="multilevel"/>
    <w:tmpl w:val="11B0C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074825">
    <w:abstractNumId w:val="4"/>
  </w:num>
  <w:num w:numId="2" w16cid:durableId="1202740988">
    <w:abstractNumId w:val="3"/>
  </w:num>
  <w:num w:numId="3" w16cid:durableId="697895287">
    <w:abstractNumId w:val="1"/>
  </w:num>
  <w:num w:numId="4" w16cid:durableId="966935552">
    <w:abstractNumId w:val="0"/>
  </w:num>
  <w:num w:numId="5" w16cid:durableId="1118600783">
    <w:abstractNumId w:val="7"/>
  </w:num>
  <w:num w:numId="6" w16cid:durableId="1090928803">
    <w:abstractNumId w:val="5"/>
  </w:num>
  <w:num w:numId="7" w16cid:durableId="1325351775">
    <w:abstractNumId w:val="6"/>
  </w:num>
  <w:num w:numId="8" w16cid:durableId="750392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21"/>
    <w:rsid w:val="000766FA"/>
    <w:rsid w:val="00267E92"/>
    <w:rsid w:val="00270D21"/>
    <w:rsid w:val="002B278F"/>
    <w:rsid w:val="00451F0B"/>
    <w:rsid w:val="0046426A"/>
    <w:rsid w:val="004E31BA"/>
    <w:rsid w:val="004E77E2"/>
    <w:rsid w:val="004F615D"/>
    <w:rsid w:val="0050780D"/>
    <w:rsid w:val="005A39FE"/>
    <w:rsid w:val="00603619"/>
    <w:rsid w:val="00732841"/>
    <w:rsid w:val="007E73CE"/>
    <w:rsid w:val="008C2538"/>
    <w:rsid w:val="00A3356F"/>
    <w:rsid w:val="00C74A4C"/>
    <w:rsid w:val="00DC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3F48"/>
  <w15:chartTrackingRefBased/>
  <w15:docId w15:val="{F53CD8F6-E931-4378-AB74-1B6EA1A6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FF0000"/>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D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70D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D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0D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0D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0D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0D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D2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70D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0D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0D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0D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0D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0D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0D2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70D2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70D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0D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0D21"/>
    <w:pPr>
      <w:spacing w:before="160"/>
      <w:jc w:val="center"/>
    </w:pPr>
    <w:rPr>
      <w:i/>
      <w:iCs/>
      <w:color w:val="404040" w:themeColor="text1" w:themeTint="BF"/>
    </w:rPr>
  </w:style>
  <w:style w:type="character" w:customStyle="1" w:styleId="QuoteChar">
    <w:name w:val="Quote Char"/>
    <w:basedOn w:val="DefaultParagraphFont"/>
    <w:link w:val="Quote"/>
    <w:uiPriority w:val="29"/>
    <w:rsid w:val="00270D21"/>
    <w:rPr>
      <w:i/>
      <w:iCs/>
      <w:color w:val="404040" w:themeColor="text1" w:themeTint="BF"/>
    </w:rPr>
  </w:style>
  <w:style w:type="paragraph" w:styleId="ListParagraph">
    <w:name w:val="List Paragraph"/>
    <w:basedOn w:val="Normal"/>
    <w:uiPriority w:val="34"/>
    <w:qFormat/>
    <w:rsid w:val="00270D21"/>
    <w:pPr>
      <w:ind w:left="720"/>
      <w:contextualSpacing/>
    </w:pPr>
  </w:style>
  <w:style w:type="character" w:styleId="IntenseEmphasis">
    <w:name w:val="Intense Emphasis"/>
    <w:basedOn w:val="DefaultParagraphFont"/>
    <w:uiPriority w:val="21"/>
    <w:qFormat/>
    <w:rsid w:val="00270D21"/>
    <w:rPr>
      <w:i/>
      <w:iCs/>
      <w:color w:val="2F5496" w:themeColor="accent1" w:themeShade="BF"/>
    </w:rPr>
  </w:style>
  <w:style w:type="paragraph" w:styleId="IntenseQuote">
    <w:name w:val="Intense Quote"/>
    <w:basedOn w:val="Normal"/>
    <w:next w:val="Normal"/>
    <w:link w:val="IntenseQuoteChar"/>
    <w:uiPriority w:val="30"/>
    <w:qFormat/>
    <w:rsid w:val="00270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D21"/>
    <w:rPr>
      <w:i/>
      <w:iCs/>
      <w:color w:val="2F5496" w:themeColor="accent1" w:themeShade="BF"/>
    </w:rPr>
  </w:style>
  <w:style w:type="character" w:styleId="IntenseReference">
    <w:name w:val="Intense Reference"/>
    <w:basedOn w:val="DefaultParagraphFont"/>
    <w:uiPriority w:val="32"/>
    <w:qFormat/>
    <w:rsid w:val="00270D21"/>
    <w:rPr>
      <w:b/>
      <w:bCs/>
      <w:smallCaps/>
      <w:color w:val="2F5496" w:themeColor="accent1" w:themeShade="BF"/>
      <w:spacing w:val="5"/>
    </w:rPr>
  </w:style>
  <w:style w:type="table" w:styleId="TableGrid">
    <w:name w:val="Table Grid"/>
    <w:basedOn w:val="TableNormal"/>
    <w:uiPriority w:val="39"/>
    <w:rsid w:val="0027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bo-may-hanh-chinh/nghi-dinh-60-2021-nd-cp-co-che-tu-chu-tai-chinh-cua-don-vi-su-nghiep-cong-lap-478766.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2026-05-05T03:53:00Z</dcterms:created>
  <dcterms:modified xsi:type="dcterms:W3CDTF">2026-05-05T04:09:00Z</dcterms:modified>
</cp:coreProperties>
</file>