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FE307" w14:textId="6DBE0370" w:rsidR="00270D21" w:rsidRPr="00C25CA5" w:rsidRDefault="00270D21" w:rsidP="008A7E8C">
      <w:pPr>
        <w:spacing w:before="60"/>
        <w:jc w:val="center"/>
        <w:rPr>
          <w:b/>
          <w:bCs/>
          <w:color w:val="auto"/>
        </w:rPr>
      </w:pPr>
      <w:r w:rsidRPr="00C25CA5">
        <w:rPr>
          <w:b/>
          <w:bCs/>
          <w:color w:val="auto"/>
        </w:rPr>
        <w:t>BẢN SO SÁNH, THUYẾT MINH NỘI DUNG DỰ THẢO</w:t>
      </w:r>
      <w:r w:rsidRPr="00C25CA5">
        <w:rPr>
          <w:b/>
          <w:bCs/>
          <w:color w:val="auto"/>
        </w:rPr>
        <w:br/>
        <w:t xml:space="preserve">Quyết định </w:t>
      </w:r>
      <w:r w:rsidR="008A7E8C" w:rsidRPr="00C25CA5">
        <w:rPr>
          <w:b/>
          <w:color w:val="auto"/>
          <w:spacing w:val="2"/>
          <w:lang w:val="nl-NL"/>
        </w:rPr>
        <w:t>Quy định định mức hỗ trợ đối với từng loại hạng mục, công trình thuộc dự án khuyến khích doanh nghiệp đầu tư vào nông nghiệp,  nông thôn trên địa bàn tỉnh Tuyên Quang</w:t>
      </w:r>
    </w:p>
    <w:p w14:paraId="3AB56673" w14:textId="0852D2E9" w:rsidR="00270D21" w:rsidRPr="00C25CA5" w:rsidRDefault="0050780D" w:rsidP="0050780D">
      <w:pPr>
        <w:jc w:val="center"/>
        <w:rPr>
          <w:i/>
          <w:iCs/>
          <w:color w:val="auto"/>
        </w:rPr>
      </w:pPr>
      <w:r w:rsidRPr="00C25CA5">
        <w:rPr>
          <w:i/>
          <w:iCs/>
          <w:color w:val="auto"/>
        </w:rPr>
        <w:t>(</w:t>
      </w:r>
      <w:r w:rsidR="003173A5">
        <w:rPr>
          <w:i/>
          <w:iCs/>
          <w:color w:val="auto"/>
        </w:rPr>
        <w:t>K</w:t>
      </w:r>
      <w:r w:rsidRPr="00C25CA5">
        <w:rPr>
          <w:i/>
          <w:iCs/>
          <w:color w:val="auto"/>
        </w:rPr>
        <w:t xml:space="preserve">èm theo Văn bản số        /SXD-KTXD ngày </w:t>
      </w:r>
      <w:r w:rsidR="00AB7C6F">
        <w:rPr>
          <w:i/>
          <w:iCs/>
          <w:color w:val="auto"/>
        </w:rPr>
        <w:t xml:space="preserve">      </w:t>
      </w:r>
      <w:r w:rsidR="004E31BA" w:rsidRPr="00C25CA5">
        <w:rPr>
          <w:i/>
          <w:iCs/>
          <w:color w:val="auto"/>
        </w:rPr>
        <w:t>/5/2026</w:t>
      </w:r>
      <w:r w:rsidRPr="00C25CA5">
        <w:rPr>
          <w:i/>
          <w:iCs/>
          <w:color w:val="auto"/>
        </w:rPr>
        <w:t xml:space="preserve">  của Sở Xây dựng)</w:t>
      </w:r>
    </w:p>
    <w:p w14:paraId="1A2F9B03" w14:textId="77777777" w:rsidR="0050780D" w:rsidRPr="00C25CA5" w:rsidRDefault="0050780D" w:rsidP="0050780D">
      <w:pPr>
        <w:jc w:val="center"/>
        <w:rPr>
          <w:i/>
          <w:iCs/>
          <w:color w:val="auto"/>
        </w:rPr>
      </w:pPr>
    </w:p>
    <w:p w14:paraId="5C281AA0" w14:textId="77777777" w:rsidR="00270D21" w:rsidRPr="00C25CA5" w:rsidRDefault="00270D21" w:rsidP="0026548A">
      <w:pPr>
        <w:spacing w:after="100" w:line="254" w:lineRule="auto"/>
        <w:ind w:firstLine="720"/>
        <w:rPr>
          <w:b/>
          <w:bCs/>
          <w:color w:val="auto"/>
        </w:rPr>
      </w:pPr>
      <w:r w:rsidRPr="00C25CA5">
        <w:rPr>
          <w:b/>
          <w:bCs/>
          <w:color w:val="auto"/>
        </w:rPr>
        <w:t>I. CƠ SỞ XÂY DỰNG DỰ THẢO</w:t>
      </w:r>
    </w:p>
    <w:p w14:paraId="6F0484C8" w14:textId="77777777" w:rsidR="000F2EBB" w:rsidRPr="00C25CA5" w:rsidRDefault="000F2EBB" w:rsidP="0026548A">
      <w:pPr>
        <w:tabs>
          <w:tab w:val="right" w:pos="7920"/>
        </w:tabs>
        <w:spacing w:after="100" w:line="254" w:lineRule="auto"/>
        <w:ind w:firstLine="720"/>
        <w:jc w:val="both"/>
        <w:rPr>
          <w:color w:val="auto"/>
        </w:rPr>
      </w:pPr>
      <w:r w:rsidRPr="00C25CA5">
        <w:rPr>
          <w:color w:val="auto"/>
        </w:rPr>
        <w:t>Căn cứ Luật Ban hành văn bản quy phạm pháp luật số 64/2025/QH15 và Luật số 87/2025/QH15 sửa đổi, bổ sung một số điều của Luật Ban hành văn bản quy phạm pháp luật số 64/2025/QH15; Căn cứ Luật Tổ chức chính quyền địa phương số 72/2025/QH15;</w:t>
      </w:r>
    </w:p>
    <w:p w14:paraId="1B66D914" w14:textId="77777777" w:rsidR="000F2EBB" w:rsidRPr="00C25CA5" w:rsidRDefault="000F2EBB" w:rsidP="0026548A">
      <w:pPr>
        <w:tabs>
          <w:tab w:val="left" w:pos="7088"/>
        </w:tabs>
        <w:spacing w:after="100" w:line="254" w:lineRule="auto"/>
        <w:ind w:firstLine="720"/>
        <w:jc w:val="both"/>
        <w:rPr>
          <w:color w:val="auto"/>
        </w:rPr>
      </w:pPr>
      <w:r w:rsidRPr="00C25CA5">
        <w:rPr>
          <w:color w:val="auto"/>
        </w:rPr>
        <w:t xml:space="preserve">Căn cứ Nghị định số 78/2025/NĐ-CP ngày 01/4/2025 của Chính phủ quy định chi tiết một số điều và biện pháp để tổ chức, hướng dẫn và thi hành Luật Ban hành văn bản quy phạm pháp luật; Nghị định số 187/2025/NĐ-CP ngày 01/7/2025 của Chính phủ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hóa và xử lý văn bản quy phạm pháp luật; </w:t>
      </w:r>
    </w:p>
    <w:p w14:paraId="53A2A7CF" w14:textId="77777777" w:rsidR="000F2EBB" w:rsidRPr="00C25CA5" w:rsidRDefault="000F2EBB" w:rsidP="0026548A">
      <w:pPr>
        <w:tabs>
          <w:tab w:val="left" w:pos="7088"/>
        </w:tabs>
        <w:spacing w:after="100" w:line="254" w:lineRule="auto"/>
        <w:ind w:firstLine="720"/>
        <w:jc w:val="both"/>
        <w:rPr>
          <w:color w:val="auto"/>
        </w:rPr>
      </w:pPr>
      <w:r w:rsidRPr="00C25CA5">
        <w:rPr>
          <w:color w:val="auto"/>
        </w:rPr>
        <w:t>Căn cứ Nghị định số </w:t>
      </w:r>
      <w:hyperlink r:id="rId5" w:tgtFrame="_blank" w:tooltip="Nghị định 57/2018/NĐ-CP" w:history="1">
        <w:r w:rsidRPr="00C25CA5">
          <w:rPr>
            <w:color w:val="auto"/>
          </w:rPr>
          <w:t>57/2018/NĐ-CP</w:t>
        </w:r>
      </w:hyperlink>
      <w:r w:rsidRPr="00C25CA5">
        <w:rPr>
          <w:color w:val="auto"/>
        </w:rPr>
        <w:t> ngày 17/4/2018 của Chính phủ về cơ chế, chính sách khuyến khích doanh nghiệp đầu tư vào nông nghiệp, nông thôn;</w:t>
      </w:r>
    </w:p>
    <w:p w14:paraId="220C9E59" w14:textId="77777777" w:rsidR="000F2EBB" w:rsidRPr="00C25CA5" w:rsidRDefault="000F2EBB" w:rsidP="0026548A">
      <w:pPr>
        <w:tabs>
          <w:tab w:val="left" w:pos="7088"/>
        </w:tabs>
        <w:spacing w:after="100" w:line="254" w:lineRule="auto"/>
        <w:ind w:firstLine="720"/>
        <w:jc w:val="both"/>
        <w:rPr>
          <w:color w:val="auto"/>
        </w:rPr>
      </w:pPr>
      <w:r w:rsidRPr="00C25CA5">
        <w:rPr>
          <w:color w:val="auto"/>
        </w:rPr>
        <w:t>Căn cứ Thông tư số </w:t>
      </w:r>
      <w:hyperlink r:id="rId6" w:tgtFrame="_blank" w:tooltip="Thông tư 04/2018/TT-BKHĐT" w:history="1">
        <w:r w:rsidRPr="00C25CA5">
          <w:rPr>
            <w:color w:val="auto"/>
          </w:rPr>
          <w:t>04/2018/TT-BKHĐT</w:t>
        </w:r>
      </w:hyperlink>
      <w:r w:rsidRPr="00C25CA5">
        <w:rPr>
          <w:color w:val="auto"/>
        </w:rPr>
        <w:t> ngày 06/12/2018 của Bộ Kế hoạch và Đầu tư hướng dẫn thực hiện một số điều của Nghị định số </w:t>
      </w:r>
      <w:hyperlink r:id="rId7" w:tgtFrame="_blank" w:tooltip="Nghị định 57/2018/NĐ-CP" w:history="1">
        <w:r w:rsidRPr="00C25CA5">
          <w:rPr>
            <w:color w:val="auto"/>
          </w:rPr>
          <w:t>57/2018/NĐ-CP</w:t>
        </w:r>
      </w:hyperlink>
      <w:r w:rsidRPr="00C25CA5">
        <w:rPr>
          <w:color w:val="auto"/>
        </w:rPr>
        <w:t> ngày 17/4/2018 của Chính phủ về cơ chế, chính sách khuyến khích doanh nghiệp đầu tư vào nông nghiệp, nông thôn;</w:t>
      </w:r>
    </w:p>
    <w:p w14:paraId="59237042" w14:textId="77777777" w:rsidR="000F2EBB" w:rsidRPr="00C25CA5" w:rsidRDefault="000F2EBB" w:rsidP="0026548A">
      <w:pPr>
        <w:tabs>
          <w:tab w:val="right" w:pos="7920"/>
        </w:tabs>
        <w:spacing w:after="100" w:line="254" w:lineRule="auto"/>
        <w:ind w:firstLine="720"/>
        <w:jc w:val="both"/>
        <w:rPr>
          <w:color w:val="auto"/>
        </w:rPr>
      </w:pPr>
      <w:r w:rsidRPr="00C25CA5">
        <w:rPr>
          <w:color w:val="auto"/>
        </w:rPr>
        <w:t>Căn cứ Nghị quyết số 02/2019/NQ-HĐND ngày01/8/2019 của Hội đồng nhân dân tỉnh về chính sách đặc thù khuyến khích doanh nghiệp đầu tư vào nông nghiệp, nông thôn trên địa bàn tỉnh Tuyên Quang;</w:t>
      </w:r>
    </w:p>
    <w:p w14:paraId="3F966918" w14:textId="0EA96705" w:rsidR="000F2EBB" w:rsidRPr="00C25CA5" w:rsidRDefault="000F2EBB" w:rsidP="0026548A">
      <w:pPr>
        <w:tabs>
          <w:tab w:val="right" w:pos="7920"/>
        </w:tabs>
        <w:spacing w:after="100" w:line="254" w:lineRule="auto"/>
        <w:ind w:firstLine="720"/>
        <w:jc w:val="both"/>
        <w:rPr>
          <w:color w:val="auto"/>
        </w:rPr>
      </w:pPr>
      <w:r w:rsidRPr="00C25CA5">
        <w:rPr>
          <w:color w:val="auto"/>
          <w:lang w:val="vi-VN"/>
        </w:rPr>
        <w:t>Căn cứ Đề án số 194/ĐA-UBND ngày 31/12/2025 của UBND tỉnh Xây dựng và hoàn thiện hệ thống văn bản quy phạm pháp luật của tỉnh Tuyên Quang</w:t>
      </w:r>
      <w:r w:rsidR="00C25CA5" w:rsidRPr="00C25CA5">
        <w:rPr>
          <w:color w:val="auto"/>
        </w:rPr>
        <w:t xml:space="preserve">; </w:t>
      </w:r>
    </w:p>
    <w:p w14:paraId="4E2EC9D0" w14:textId="77777777" w:rsidR="00C25CA5" w:rsidRPr="00C25CA5" w:rsidRDefault="00C25CA5" w:rsidP="0026548A">
      <w:pPr>
        <w:tabs>
          <w:tab w:val="left" w:pos="7088"/>
        </w:tabs>
        <w:spacing w:after="100" w:line="254" w:lineRule="auto"/>
        <w:ind w:firstLine="720"/>
        <w:jc w:val="both"/>
        <w:rPr>
          <w:color w:val="auto"/>
        </w:rPr>
      </w:pPr>
      <w:r w:rsidRPr="00C25CA5">
        <w:rPr>
          <w:color w:val="auto"/>
        </w:rPr>
        <w:t>Căn cứ Quyết định số 425/QĐ-BXD ngày 30/3/2026 của Bộ Xây dựng công bố suất vốn đầu tư xây dựng và giá xây dựng tổng hợp bộ phận kết cấu công trình năm 2025;</w:t>
      </w:r>
    </w:p>
    <w:p w14:paraId="48F2DD88" w14:textId="2556574B" w:rsidR="008A71CE" w:rsidRPr="00C25CA5" w:rsidRDefault="008A71CE" w:rsidP="0026548A">
      <w:pPr>
        <w:pStyle w:val="Normal1"/>
        <w:widowControl w:val="0"/>
        <w:spacing w:after="100" w:line="254" w:lineRule="auto"/>
        <w:ind w:firstLine="720"/>
        <w:jc w:val="both"/>
        <w:rPr>
          <w:spacing w:val="-4"/>
          <w:sz w:val="28"/>
          <w:szCs w:val="28"/>
        </w:rPr>
      </w:pPr>
      <w:r w:rsidRPr="00C25CA5">
        <w:rPr>
          <w:spacing w:val="-4"/>
          <w:sz w:val="28"/>
          <w:szCs w:val="28"/>
        </w:rPr>
        <w:t>Căn cứ Văn bản số 1589/UBND-QHĐTXD ngày 13/3/2026 của UBND tỉnh về việc xây dựng Quyết định quy phạ m phá pluật của Uỷ ban nhân dân tỉnh.</w:t>
      </w:r>
    </w:p>
    <w:p w14:paraId="7AC90068" w14:textId="7F32148F" w:rsidR="00270D21" w:rsidRPr="00C25CA5" w:rsidRDefault="00270D21" w:rsidP="0026548A">
      <w:pPr>
        <w:spacing w:after="100" w:line="254" w:lineRule="auto"/>
        <w:ind w:firstLine="709"/>
        <w:jc w:val="both"/>
        <w:rPr>
          <w:color w:val="auto"/>
        </w:rPr>
      </w:pPr>
      <w:r w:rsidRPr="00C25CA5">
        <w:rPr>
          <w:color w:val="auto"/>
        </w:rPr>
        <w:t xml:space="preserve">Kết quả rà soát, kế thừa các định mức </w:t>
      </w:r>
      <w:r w:rsidR="000F2EBB" w:rsidRPr="00C25CA5">
        <w:rPr>
          <w:color w:val="auto"/>
        </w:rPr>
        <w:t xml:space="preserve">hỗ trợ </w:t>
      </w:r>
      <w:r w:rsidRPr="00C25CA5">
        <w:rPr>
          <w:color w:val="auto"/>
        </w:rPr>
        <w:t>đã được xây dựng, áp dụng tại tỉnh Tuyên Quang và tỉnh Hà Giang trước khi sáp nhập;</w:t>
      </w:r>
    </w:p>
    <w:p w14:paraId="0C219982" w14:textId="0C2BB1C6" w:rsidR="00270D21" w:rsidRPr="00C25CA5" w:rsidRDefault="00270D21" w:rsidP="0026548A">
      <w:pPr>
        <w:spacing w:after="100" w:line="254" w:lineRule="auto"/>
        <w:ind w:firstLine="709"/>
        <w:jc w:val="both"/>
        <w:rPr>
          <w:color w:val="auto"/>
        </w:rPr>
      </w:pPr>
      <w:r w:rsidRPr="00C25CA5">
        <w:rPr>
          <w:color w:val="auto"/>
        </w:rPr>
        <w:lastRenderedPageBreak/>
        <w:t xml:space="preserve">Điều kiện thực tế về </w:t>
      </w:r>
      <w:r w:rsidR="000F2EBB" w:rsidRPr="00C25CA5">
        <w:rPr>
          <w:color w:val="auto"/>
        </w:rPr>
        <w:t>đối với dự án do doanh nghiệp đầu tư vào nông nghiệp, nông thôn trên địa bàn tỉnh Tuyên Quang</w:t>
      </w:r>
      <w:r w:rsidRPr="00C25CA5">
        <w:rPr>
          <w:color w:val="auto"/>
        </w:rPr>
        <w:t>.</w:t>
      </w:r>
    </w:p>
    <w:p w14:paraId="4FAE1713" w14:textId="5D7280AE" w:rsidR="00270D21" w:rsidRPr="00C25CA5" w:rsidRDefault="00270D21" w:rsidP="00451F0B">
      <w:pPr>
        <w:spacing w:before="120" w:after="120" w:line="252" w:lineRule="auto"/>
        <w:ind w:firstLine="709"/>
        <w:rPr>
          <w:b/>
          <w:bCs/>
          <w:color w:val="auto"/>
        </w:rPr>
      </w:pPr>
      <w:r w:rsidRPr="00C25CA5">
        <w:rPr>
          <w:b/>
          <w:bCs/>
          <w:color w:val="auto"/>
        </w:rPr>
        <w:t>II. SO SÁNH NỘI DUNG CHỦ YẾU</w:t>
      </w:r>
    </w:p>
    <w:tbl>
      <w:tblPr>
        <w:tblStyle w:val="TableGrid"/>
        <w:tblW w:w="9351" w:type="dxa"/>
        <w:tblLook w:val="04A0" w:firstRow="1" w:lastRow="0" w:firstColumn="1" w:lastColumn="0" w:noHBand="0" w:noVBand="1"/>
      </w:tblPr>
      <w:tblGrid>
        <w:gridCol w:w="704"/>
        <w:gridCol w:w="1418"/>
        <w:gridCol w:w="2126"/>
        <w:gridCol w:w="2835"/>
        <w:gridCol w:w="2268"/>
      </w:tblGrid>
      <w:tr w:rsidR="00A86319" w:rsidRPr="00C25CA5" w14:paraId="493DA072" w14:textId="77777777" w:rsidTr="0088358F">
        <w:trPr>
          <w:tblHeader/>
        </w:trPr>
        <w:tc>
          <w:tcPr>
            <w:tcW w:w="704" w:type="dxa"/>
            <w:vAlign w:val="center"/>
          </w:tcPr>
          <w:p w14:paraId="67191A23" w14:textId="77777777" w:rsidR="00A86319" w:rsidRPr="00C25CA5" w:rsidRDefault="00A86319" w:rsidP="00A86319">
            <w:pPr>
              <w:jc w:val="center"/>
              <w:rPr>
                <w:b/>
                <w:bCs/>
                <w:color w:val="auto"/>
                <w:sz w:val="24"/>
                <w:szCs w:val="24"/>
              </w:rPr>
            </w:pPr>
            <w:r w:rsidRPr="00C25CA5">
              <w:rPr>
                <w:b/>
                <w:bCs/>
                <w:color w:val="auto"/>
                <w:sz w:val="24"/>
                <w:szCs w:val="24"/>
              </w:rPr>
              <w:t>STT</w:t>
            </w:r>
          </w:p>
        </w:tc>
        <w:tc>
          <w:tcPr>
            <w:tcW w:w="1418" w:type="dxa"/>
            <w:vAlign w:val="center"/>
          </w:tcPr>
          <w:p w14:paraId="490C9079" w14:textId="77777777" w:rsidR="00A86319" w:rsidRPr="00C25CA5" w:rsidRDefault="00A86319" w:rsidP="00A86319">
            <w:pPr>
              <w:jc w:val="center"/>
              <w:rPr>
                <w:b/>
                <w:bCs/>
                <w:color w:val="auto"/>
                <w:sz w:val="24"/>
                <w:szCs w:val="24"/>
              </w:rPr>
            </w:pPr>
            <w:r w:rsidRPr="00C25CA5">
              <w:rPr>
                <w:b/>
                <w:bCs/>
                <w:color w:val="auto"/>
                <w:sz w:val="24"/>
                <w:szCs w:val="24"/>
              </w:rPr>
              <w:t>Nội dung so sánh</w:t>
            </w:r>
          </w:p>
        </w:tc>
        <w:tc>
          <w:tcPr>
            <w:tcW w:w="2126" w:type="dxa"/>
            <w:vAlign w:val="center"/>
          </w:tcPr>
          <w:p w14:paraId="020F510C" w14:textId="3090FAAA" w:rsidR="00A86319" w:rsidRPr="00C25CA5" w:rsidRDefault="00A86319" w:rsidP="00A86319">
            <w:pPr>
              <w:jc w:val="center"/>
              <w:rPr>
                <w:b/>
                <w:bCs/>
                <w:color w:val="auto"/>
                <w:sz w:val="24"/>
                <w:szCs w:val="24"/>
              </w:rPr>
            </w:pPr>
            <w:r w:rsidRPr="00C25CA5">
              <w:rPr>
                <w:b/>
                <w:bCs/>
                <w:color w:val="auto"/>
                <w:sz w:val="24"/>
                <w:szCs w:val="24"/>
              </w:rPr>
              <w:t>Quy định cũ (QĐ 20/2020 Tuyên Quang; QĐ 06/2021 Hà Giang)</w:t>
            </w:r>
          </w:p>
        </w:tc>
        <w:tc>
          <w:tcPr>
            <w:tcW w:w="2835" w:type="dxa"/>
            <w:vAlign w:val="center"/>
          </w:tcPr>
          <w:p w14:paraId="20A4D9BB" w14:textId="153E86B3" w:rsidR="00A86319" w:rsidRPr="00C25CA5" w:rsidRDefault="00A86319" w:rsidP="00A86319">
            <w:pPr>
              <w:jc w:val="center"/>
              <w:rPr>
                <w:b/>
                <w:bCs/>
                <w:color w:val="auto"/>
                <w:sz w:val="24"/>
                <w:szCs w:val="24"/>
              </w:rPr>
            </w:pPr>
            <w:r w:rsidRPr="00C25CA5">
              <w:rPr>
                <w:b/>
                <w:bCs/>
                <w:color w:val="auto"/>
                <w:sz w:val="24"/>
                <w:szCs w:val="24"/>
              </w:rPr>
              <w:t>Dự thảo Quyết định</w:t>
            </w:r>
          </w:p>
        </w:tc>
        <w:tc>
          <w:tcPr>
            <w:tcW w:w="2268" w:type="dxa"/>
            <w:vAlign w:val="center"/>
          </w:tcPr>
          <w:p w14:paraId="6F41A064" w14:textId="427FFDAA" w:rsidR="00A86319" w:rsidRPr="00C25CA5" w:rsidRDefault="00A86319" w:rsidP="00A86319">
            <w:pPr>
              <w:jc w:val="center"/>
              <w:rPr>
                <w:b/>
                <w:bCs/>
                <w:color w:val="auto"/>
                <w:sz w:val="24"/>
                <w:szCs w:val="24"/>
              </w:rPr>
            </w:pPr>
            <w:r w:rsidRPr="00C25CA5">
              <w:rPr>
                <w:b/>
                <w:bCs/>
                <w:color w:val="auto"/>
                <w:sz w:val="24"/>
                <w:szCs w:val="24"/>
              </w:rPr>
              <w:t>Ý kiến đề xuât</w:t>
            </w:r>
          </w:p>
        </w:tc>
      </w:tr>
      <w:tr w:rsidR="00A86319" w:rsidRPr="00C25CA5" w14:paraId="5C7928F9" w14:textId="77777777" w:rsidTr="0088358F">
        <w:tc>
          <w:tcPr>
            <w:tcW w:w="704" w:type="dxa"/>
            <w:vAlign w:val="center"/>
          </w:tcPr>
          <w:p w14:paraId="5C41189E" w14:textId="77777777" w:rsidR="00A86319" w:rsidRPr="00C25CA5" w:rsidRDefault="00A86319" w:rsidP="00A86319">
            <w:pPr>
              <w:jc w:val="center"/>
              <w:rPr>
                <w:color w:val="auto"/>
              </w:rPr>
            </w:pPr>
            <w:r w:rsidRPr="00C25CA5">
              <w:rPr>
                <w:color w:val="auto"/>
              </w:rPr>
              <w:t>1</w:t>
            </w:r>
          </w:p>
        </w:tc>
        <w:tc>
          <w:tcPr>
            <w:tcW w:w="1418" w:type="dxa"/>
            <w:vAlign w:val="center"/>
          </w:tcPr>
          <w:p w14:paraId="485A521F" w14:textId="4102E9BB" w:rsidR="00A86319" w:rsidRPr="00C25CA5" w:rsidRDefault="00A86319" w:rsidP="00A86319">
            <w:pPr>
              <w:jc w:val="center"/>
              <w:rPr>
                <w:color w:val="auto"/>
              </w:rPr>
            </w:pPr>
            <w:r w:rsidRPr="00C25CA5">
              <w:rPr>
                <w:color w:val="auto"/>
              </w:rPr>
              <w:t>Phạm vi điều chỉnh</w:t>
            </w:r>
          </w:p>
        </w:tc>
        <w:tc>
          <w:tcPr>
            <w:tcW w:w="2126" w:type="dxa"/>
            <w:vAlign w:val="center"/>
          </w:tcPr>
          <w:p w14:paraId="4C0D383E" w14:textId="4787AC06" w:rsidR="00A86319" w:rsidRPr="00C25CA5" w:rsidRDefault="00A86319" w:rsidP="00A86319">
            <w:pPr>
              <w:jc w:val="center"/>
              <w:rPr>
                <w:color w:val="auto"/>
              </w:rPr>
            </w:pPr>
            <w:r w:rsidRPr="00C25CA5">
              <w:rPr>
                <w:color w:val="auto"/>
              </w:rPr>
              <w:t>Quy định chung về định mức hỗ trợ; chưa dẫn chiếu đầy đủ quy định Trung ương</w:t>
            </w:r>
          </w:p>
        </w:tc>
        <w:tc>
          <w:tcPr>
            <w:tcW w:w="2835" w:type="dxa"/>
            <w:vAlign w:val="center"/>
          </w:tcPr>
          <w:p w14:paraId="32337937" w14:textId="207EA3F5" w:rsidR="00A86319" w:rsidRPr="00C25CA5" w:rsidRDefault="00A86319" w:rsidP="00A86319">
            <w:pPr>
              <w:jc w:val="center"/>
              <w:rPr>
                <w:color w:val="auto"/>
              </w:rPr>
            </w:pPr>
            <w:r w:rsidRPr="00C25CA5">
              <w:rPr>
                <w:color w:val="auto"/>
              </w:rPr>
              <w:t>Quy định rõ theo Nghị định 57/2018/NĐ-CP và Nghị quyết HĐND tỉnh</w:t>
            </w:r>
          </w:p>
        </w:tc>
        <w:tc>
          <w:tcPr>
            <w:tcW w:w="2268" w:type="dxa"/>
            <w:vAlign w:val="center"/>
          </w:tcPr>
          <w:p w14:paraId="7BBE12E3" w14:textId="72A4A58F" w:rsidR="00A86319" w:rsidRPr="00C25CA5" w:rsidRDefault="00A86319" w:rsidP="00A86319">
            <w:pPr>
              <w:jc w:val="center"/>
              <w:rPr>
                <w:color w:val="auto"/>
              </w:rPr>
            </w:pPr>
            <w:r w:rsidRPr="00C25CA5">
              <w:rPr>
                <w:color w:val="auto"/>
              </w:rPr>
              <w:t>Chuẩn hóa phạm vi điều chỉnh, bảo đảm thống nhất với quy định cấp trên</w:t>
            </w:r>
          </w:p>
        </w:tc>
      </w:tr>
      <w:tr w:rsidR="00A86319" w:rsidRPr="00C25CA5" w14:paraId="6FEF1089" w14:textId="77777777" w:rsidTr="0088358F">
        <w:tc>
          <w:tcPr>
            <w:tcW w:w="704" w:type="dxa"/>
            <w:vAlign w:val="center"/>
          </w:tcPr>
          <w:p w14:paraId="2F25CBFF" w14:textId="44ED229A" w:rsidR="00A86319" w:rsidRPr="00C25CA5" w:rsidRDefault="00A86319" w:rsidP="00A86319">
            <w:pPr>
              <w:jc w:val="center"/>
              <w:rPr>
                <w:color w:val="auto"/>
              </w:rPr>
            </w:pPr>
            <w:r w:rsidRPr="00C25CA5">
              <w:rPr>
                <w:color w:val="auto"/>
              </w:rPr>
              <w:t>2</w:t>
            </w:r>
          </w:p>
        </w:tc>
        <w:tc>
          <w:tcPr>
            <w:tcW w:w="1418" w:type="dxa"/>
            <w:vAlign w:val="center"/>
          </w:tcPr>
          <w:p w14:paraId="580FD2EC" w14:textId="05F76FE2" w:rsidR="00A86319" w:rsidRPr="00C25CA5" w:rsidRDefault="00A86319" w:rsidP="00A86319">
            <w:pPr>
              <w:jc w:val="center"/>
              <w:rPr>
                <w:color w:val="auto"/>
              </w:rPr>
            </w:pPr>
            <w:r w:rsidRPr="00C25CA5">
              <w:rPr>
                <w:color w:val="auto"/>
              </w:rPr>
              <w:t>Đối tượng áp dụng</w:t>
            </w:r>
          </w:p>
        </w:tc>
        <w:tc>
          <w:tcPr>
            <w:tcW w:w="2126" w:type="dxa"/>
            <w:vAlign w:val="center"/>
          </w:tcPr>
          <w:p w14:paraId="721B870A" w14:textId="267C488E" w:rsidR="00A86319" w:rsidRPr="00C25CA5" w:rsidRDefault="00A86319" w:rsidP="00A86319">
            <w:pPr>
              <w:jc w:val="center"/>
              <w:rPr>
                <w:color w:val="auto"/>
              </w:rPr>
            </w:pPr>
            <w:r w:rsidRPr="00C25CA5">
              <w:rPr>
                <w:color w:val="auto"/>
              </w:rPr>
              <w:t>Xác định chung doanh nghiệp đầu tư vào nông nghiệp, nông thôn</w:t>
            </w:r>
          </w:p>
        </w:tc>
        <w:tc>
          <w:tcPr>
            <w:tcW w:w="2835" w:type="dxa"/>
            <w:vAlign w:val="center"/>
          </w:tcPr>
          <w:p w14:paraId="25188CA3" w14:textId="336E6296" w:rsidR="00A86319" w:rsidRPr="00C25CA5" w:rsidRDefault="00A86319" w:rsidP="00A86319">
            <w:pPr>
              <w:jc w:val="center"/>
              <w:rPr>
                <w:color w:val="auto"/>
              </w:rPr>
            </w:pPr>
            <w:r w:rsidRPr="00C25CA5">
              <w:rPr>
                <w:color w:val="auto"/>
              </w:rPr>
              <w:t>Quy định cụ thể phải đáp ứng điều kiện tại Khoản 1 Điều 2 Nghị định 57/2018/NĐ-CP</w:t>
            </w:r>
          </w:p>
        </w:tc>
        <w:tc>
          <w:tcPr>
            <w:tcW w:w="2268" w:type="dxa"/>
            <w:vAlign w:val="center"/>
          </w:tcPr>
          <w:p w14:paraId="39D80263" w14:textId="34073D91" w:rsidR="00A86319" w:rsidRPr="00C25CA5" w:rsidRDefault="00A86319" w:rsidP="00A86319">
            <w:pPr>
              <w:jc w:val="center"/>
              <w:rPr>
                <w:color w:val="auto"/>
              </w:rPr>
            </w:pPr>
            <w:r w:rsidRPr="00C25CA5">
              <w:rPr>
                <w:color w:val="auto"/>
              </w:rPr>
              <w:t>Rõ ràng, tránh áp dụng sai đối tượng</w:t>
            </w:r>
          </w:p>
        </w:tc>
      </w:tr>
      <w:tr w:rsidR="00A86319" w:rsidRPr="00C25CA5" w14:paraId="1939833C" w14:textId="77777777" w:rsidTr="0088358F">
        <w:tc>
          <w:tcPr>
            <w:tcW w:w="704" w:type="dxa"/>
            <w:vAlign w:val="center"/>
          </w:tcPr>
          <w:p w14:paraId="415A4278" w14:textId="5855356D" w:rsidR="00A86319" w:rsidRPr="00C25CA5" w:rsidRDefault="00A86319" w:rsidP="00A86319">
            <w:pPr>
              <w:jc w:val="center"/>
              <w:rPr>
                <w:color w:val="auto"/>
              </w:rPr>
            </w:pPr>
            <w:r w:rsidRPr="00C25CA5">
              <w:rPr>
                <w:color w:val="auto"/>
              </w:rPr>
              <w:t>3</w:t>
            </w:r>
          </w:p>
        </w:tc>
        <w:tc>
          <w:tcPr>
            <w:tcW w:w="1418" w:type="dxa"/>
            <w:vAlign w:val="center"/>
          </w:tcPr>
          <w:p w14:paraId="3EB4C23F" w14:textId="25253FC5" w:rsidR="00A86319" w:rsidRPr="00C25CA5" w:rsidRDefault="00A86319" w:rsidP="00A86319">
            <w:pPr>
              <w:jc w:val="center"/>
              <w:rPr>
                <w:color w:val="auto"/>
              </w:rPr>
            </w:pPr>
            <w:r w:rsidRPr="00C25CA5">
              <w:rPr>
                <w:color w:val="auto"/>
              </w:rPr>
              <w:t>Định mức hỗ trợ (tổng thể)</w:t>
            </w:r>
          </w:p>
        </w:tc>
        <w:tc>
          <w:tcPr>
            <w:tcW w:w="2126" w:type="dxa"/>
            <w:vAlign w:val="center"/>
          </w:tcPr>
          <w:p w14:paraId="378CBDC2" w14:textId="3ABF22A5" w:rsidR="00A86319" w:rsidRPr="00C25CA5" w:rsidRDefault="00A86319" w:rsidP="00A86319">
            <w:pPr>
              <w:jc w:val="center"/>
              <w:rPr>
                <w:color w:val="auto"/>
              </w:rPr>
            </w:pPr>
            <w:r w:rsidRPr="00C25CA5">
              <w:rPr>
                <w:color w:val="auto"/>
              </w:rPr>
              <w:t>Mức hỗ trợ thấp, chưa cập nhật biến động giá; một số hạng mục chưa đầy đủ</w:t>
            </w:r>
          </w:p>
        </w:tc>
        <w:tc>
          <w:tcPr>
            <w:tcW w:w="2835" w:type="dxa"/>
            <w:vAlign w:val="center"/>
          </w:tcPr>
          <w:p w14:paraId="2D589145" w14:textId="24C66F3A" w:rsidR="00A86319" w:rsidRPr="00C25CA5" w:rsidRDefault="00A86319" w:rsidP="00A86319">
            <w:pPr>
              <w:jc w:val="center"/>
              <w:rPr>
                <w:color w:val="auto"/>
              </w:rPr>
            </w:pPr>
            <w:r w:rsidRPr="00C25CA5">
              <w:rPr>
                <w:color w:val="auto"/>
              </w:rPr>
              <w:t>Điều chỉnh tăng (khoảng 30–70%); bổ sung các hạng mục còn thiếu; hài hòa với Hà Giang</w:t>
            </w:r>
          </w:p>
        </w:tc>
        <w:tc>
          <w:tcPr>
            <w:tcW w:w="2268" w:type="dxa"/>
            <w:vAlign w:val="center"/>
          </w:tcPr>
          <w:p w14:paraId="39C9DD15" w14:textId="54814DDA" w:rsidR="00A86319" w:rsidRPr="00C25CA5" w:rsidRDefault="00A86319" w:rsidP="00A86319">
            <w:pPr>
              <w:jc w:val="center"/>
              <w:rPr>
                <w:color w:val="auto"/>
              </w:rPr>
            </w:pPr>
            <w:r w:rsidRPr="00C25CA5">
              <w:rPr>
                <w:color w:val="auto"/>
              </w:rPr>
              <w:t>Phù hợp mặt bằng giá hiện nay, có cơ sở thực tiễn</w:t>
            </w:r>
          </w:p>
        </w:tc>
      </w:tr>
      <w:tr w:rsidR="00A86319" w:rsidRPr="00C25CA5" w14:paraId="55F7A5BA" w14:textId="77777777" w:rsidTr="0088358F">
        <w:tc>
          <w:tcPr>
            <w:tcW w:w="704" w:type="dxa"/>
            <w:vAlign w:val="center"/>
          </w:tcPr>
          <w:p w14:paraId="4E6C5EE7" w14:textId="57EF7B60" w:rsidR="00A86319" w:rsidRPr="00C25CA5" w:rsidRDefault="00A86319" w:rsidP="00A86319">
            <w:pPr>
              <w:jc w:val="center"/>
              <w:rPr>
                <w:color w:val="auto"/>
              </w:rPr>
            </w:pPr>
            <w:r w:rsidRPr="00C25CA5">
              <w:rPr>
                <w:color w:val="auto"/>
              </w:rPr>
              <w:t>4</w:t>
            </w:r>
          </w:p>
        </w:tc>
        <w:tc>
          <w:tcPr>
            <w:tcW w:w="1418" w:type="dxa"/>
            <w:vAlign w:val="center"/>
          </w:tcPr>
          <w:p w14:paraId="2E81900C" w14:textId="0F56E31E" w:rsidR="00A86319" w:rsidRPr="00C25CA5" w:rsidRDefault="00A86319" w:rsidP="00A86319">
            <w:pPr>
              <w:jc w:val="center"/>
              <w:rPr>
                <w:color w:val="auto"/>
              </w:rPr>
            </w:pPr>
            <w:r w:rsidRPr="00C25CA5">
              <w:rPr>
                <w:color w:val="auto"/>
              </w:rPr>
              <w:t>Nhóm hạ tầng kỹ thuật</w:t>
            </w:r>
          </w:p>
        </w:tc>
        <w:tc>
          <w:tcPr>
            <w:tcW w:w="2126" w:type="dxa"/>
            <w:vAlign w:val="center"/>
          </w:tcPr>
          <w:p w14:paraId="3B7FE4D1" w14:textId="27E801B4" w:rsidR="00A86319" w:rsidRPr="00C25CA5" w:rsidRDefault="00A86319" w:rsidP="00A86319">
            <w:pPr>
              <w:jc w:val="center"/>
              <w:rPr>
                <w:color w:val="auto"/>
              </w:rPr>
            </w:pPr>
            <w:r w:rsidRPr="00C25CA5">
              <w:rPr>
                <w:color w:val="auto"/>
              </w:rPr>
              <w:t>Định mức thấp, khó triển khai thực tế</w:t>
            </w:r>
          </w:p>
        </w:tc>
        <w:tc>
          <w:tcPr>
            <w:tcW w:w="2835" w:type="dxa"/>
            <w:vAlign w:val="center"/>
          </w:tcPr>
          <w:p w14:paraId="3479F234" w14:textId="3E5ABDE4" w:rsidR="00A86319" w:rsidRPr="00C25CA5" w:rsidRDefault="00A86319" w:rsidP="00A86319">
            <w:pPr>
              <w:jc w:val="center"/>
              <w:rPr>
                <w:color w:val="auto"/>
              </w:rPr>
            </w:pPr>
            <w:r w:rsidRPr="00C25CA5">
              <w:rPr>
                <w:color w:val="auto"/>
              </w:rPr>
              <w:t>Tăng định mức (đường, điện, thủy lợi), tiệm cận mức Hà Giang</w:t>
            </w:r>
          </w:p>
        </w:tc>
        <w:tc>
          <w:tcPr>
            <w:tcW w:w="2268" w:type="dxa"/>
            <w:vAlign w:val="center"/>
          </w:tcPr>
          <w:p w14:paraId="454D8B48" w14:textId="6B63AD3F" w:rsidR="00A86319" w:rsidRPr="00C25CA5" w:rsidRDefault="00A86319" w:rsidP="00A86319">
            <w:pPr>
              <w:jc w:val="center"/>
              <w:rPr>
                <w:color w:val="auto"/>
              </w:rPr>
            </w:pPr>
            <w:r w:rsidRPr="00C25CA5">
              <w:rPr>
                <w:color w:val="auto"/>
              </w:rPr>
              <w:t>Khắc phục bất cập, bảo đảm khả thi</w:t>
            </w:r>
          </w:p>
        </w:tc>
      </w:tr>
      <w:tr w:rsidR="00A86319" w:rsidRPr="00C25CA5" w14:paraId="5FCCD102" w14:textId="77777777" w:rsidTr="0088358F">
        <w:tc>
          <w:tcPr>
            <w:tcW w:w="704" w:type="dxa"/>
            <w:vAlign w:val="center"/>
          </w:tcPr>
          <w:p w14:paraId="189DB3EE" w14:textId="195CF77B" w:rsidR="00A86319" w:rsidRPr="00C25CA5" w:rsidRDefault="00A86319" w:rsidP="00A86319">
            <w:pPr>
              <w:jc w:val="center"/>
              <w:rPr>
                <w:color w:val="auto"/>
              </w:rPr>
            </w:pPr>
            <w:r w:rsidRPr="00C25CA5">
              <w:rPr>
                <w:color w:val="auto"/>
              </w:rPr>
              <w:t>5</w:t>
            </w:r>
          </w:p>
        </w:tc>
        <w:tc>
          <w:tcPr>
            <w:tcW w:w="1418" w:type="dxa"/>
            <w:vAlign w:val="center"/>
          </w:tcPr>
          <w:p w14:paraId="750C5F64" w14:textId="08DF1446" w:rsidR="00A86319" w:rsidRPr="00C25CA5" w:rsidRDefault="00A86319" w:rsidP="00A86319">
            <w:pPr>
              <w:jc w:val="center"/>
              <w:rPr>
                <w:color w:val="auto"/>
              </w:rPr>
            </w:pPr>
            <w:r w:rsidRPr="00C25CA5">
              <w:rPr>
                <w:color w:val="auto"/>
              </w:rPr>
              <w:t>Nhóm chế biến, bảo quản</w:t>
            </w:r>
          </w:p>
        </w:tc>
        <w:tc>
          <w:tcPr>
            <w:tcW w:w="2126" w:type="dxa"/>
            <w:vAlign w:val="center"/>
          </w:tcPr>
          <w:p w14:paraId="76B4666D" w14:textId="24ED2CE0" w:rsidR="00A86319" w:rsidRPr="00C25CA5" w:rsidRDefault="00A86319" w:rsidP="00A86319">
            <w:pPr>
              <w:jc w:val="center"/>
              <w:rPr>
                <w:color w:val="auto"/>
              </w:rPr>
            </w:pPr>
            <w:r w:rsidRPr="00C25CA5">
              <w:rPr>
                <w:color w:val="auto"/>
              </w:rPr>
              <w:t>Chưa đầy đủ; định mức chưa phù hợp công nghệ mới</w:t>
            </w:r>
          </w:p>
        </w:tc>
        <w:tc>
          <w:tcPr>
            <w:tcW w:w="2835" w:type="dxa"/>
            <w:vAlign w:val="center"/>
          </w:tcPr>
          <w:p w14:paraId="01CA6168" w14:textId="465D0AA2" w:rsidR="00A86319" w:rsidRPr="00C25CA5" w:rsidRDefault="00A86319" w:rsidP="00A86319">
            <w:pPr>
              <w:jc w:val="center"/>
              <w:rPr>
                <w:color w:val="auto"/>
              </w:rPr>
            </w:pPr>
            <w:r w:rsidRPr="00C25CA5">
              <w:rPr>
                <w:color w:val="auto"/>
              </w:rPr>
              <w:t>Tăng định mức kho lạnh, nhà xưởng; bổ sung hạng mục</w:t>
            </w:r>
          </w:p>
        </w:tc>
        <w:tc>
          <w:tcPr>
            <w:tcW w:w="2268" w:type="dxa"/>
            <w:vAlign w:val="center"/>
          </w:tcPr>
          <w:p w14:paraId="4C07855C" w14:textId="5EE9FC72" w:rsidR="00A86319" w:rsidRPr="00C25CA5" w:rsidRDefault="00A86319" w:rsidP="00A86319">
            <w:pPr>
              <w:jc w:val="center"/>
              <w:rPr>
                <w:color w:val="auto"/>
              </w:rPr>
            </w:pPr>
            <w:r w:rsidRPr="00C25CA5">
              <w:rPr>
                <w:color w:val="auto"/>
              </w:rPr>
              <w:t>Phù hợp định hướng nông nghiệp công nghệ cao</w:t>
            </w:r>
          </w:p>
        </w:tc>
      </w:tr>
      <w:tr w:rsidR="00A86319" w:rsidRPr="00C25CA5" w14:paraId="4356DC97" w14:textId="77777777" w:rsidTr="0088358F">
        <w:tc>
          <w:tcPr>
            <w:tcW w:w="704" w:type="dxa"/>
            <w:vAlign w:val="center"/>
          </w:tcPr>
          <w:p w14:paraId="4F7B20C1" w14:textId="1E8EE8DA" w:rsidR="00A86319" w:rsidRPr="00C25CA5" w:rsidRDefault="00A86319" w:rsidP="00A86319">
            <w:pPr>
              <w:jc w:val="center"/>
              <w:rPr>
                <w:color w:val="auto"/>
              </w:rPr>
            </w:pPr>
            <w:r w:rsidRPr="00C25CA5">
              <w:rPr>
                <w:color w:val="auto"/>
              </w:rPr>
              <w:t>6</w:t>
            </w:r>
          </w:p>
        </w:tc>
        <w:tc>
          <w:tcPr>
            <w:tcW w:w="1418" w:type="dxa"/>
            <w:vAlign w:val="center"/>
          </w:tcPr>
          <w:p w14:paraId="41A45C96" w14:textId="702C110F" w:rsidR="00A86319" w:rsidRPr="00C25CA5" w:rsidRDefault="00A86319" w:rsidP="00A86319">
            <w:pPr>
              <w:jc w:val="center"/>
              <w:rPr>
                <w:color w:val="auto"/>
              </w:rPr>
            </w:pPr>
            <w:r w:rsidRPr="00C25CA5">
              <w:rPr>
                <w:color w:val="auto"/>
              </w:rPr>
              <w:t>Nhóm chăn nuôi, môi trường</w:t>
            </w:r>
          </w:p>
        </w:tc>
        <w:tc>
          <w:tcPr>
            <w:tcW w:w="2126" w:type="dxa"/>
            <w:vAlign w:val="center"/>
          </w:tcPr>
          <w:p w14:paraId="5980C37A" w14:textId="303253A6" w:rsidR="00A86319" w:rsidRPr="00C25CA5" w:rsidRDefault="00A86319" w:rsidP="00A86319">
            <w:pPr>
              <w:jc w:val="center"/>
              <w:rPr>
                <w:color w:val="auto"/>
              </w:rPr>
            </w:pPr>
            <w:r w:rsidRPr="00C25CA5">
              <w:rPr>
                <w:color w:val="auto"/>
              </w:rPr>
              <w:t>Chưa phản ánh đầy đủ chi phí xử lý môi trường</w:t>
            </w:r>
          </w:p>
        </w:tc>
        <w:tc>
          <w:tcPr>
            <w:tcW w:w="2835" w:type="dxa"/>
            <w:vAlign w:val="center"/>
          </w:tcPr>
          <w:p w14:paraId="3BD8091F" w14:textId="7DF6510F" w:rsidR="00A86319" w:rsidRPr="00C25CA5" w:rsidRDefault="00A86319" w:rsidP="00A86319">
            <w:pPr>
              <w:jc w:val="center"/>
              <w:rPr>
                <w:color w:val="auto"/>
              </w:rPr>
            </w:pPr>
            <w:r w:rsidRPr="00C25CA5">
              <w:rPr>
                <w:color w:val="auto"/>
              </w:rPr>
              <w:t>Tăng mạnh định mức xử lý chất thải, bảo vệ môi trường</w:t>
            </w:r>
          </w:p>
        </w:tc>
        <w:tc>
          <w:tcPr>
            <w:tcW w:w="2268" w:type="dxa"/>
            <w:vAlign w:val="center"/>
          </w:tcPr>
          <w:p w14:paraId="69E2B005" w14:textId="5F2E7797" w:rsidR="00A86319" w:rsidRPr="00C25CA5" w:rsidRDefault="00A86319" w:rsidP="00A86319">
            <w:pPr>
              <w:jc w:val="center"/>
              <w:rPr>
                <w:color w:val="auto"/>
              </w:rPr>
            </w:pPr>
            <w:r w:rsidRPr="00C25CA5">
              <w:rPr>
                <w:color w:val="auto"/>
              </w:rPr>
              <w:t>Phù hợp quy định pháp luật về môi trường</w:t>
            </w:r>
          </w:p>
        </w:tc>
      </w:tr>
      <w:tr w:rsidR="00A86319" w:rsidRPr="00C25CA5" w14:paraId="4D6C6455" w14:textId="77777777" w:rsidTr="0088358F">
        <w:tc>
          <w:tcPr>
            <w:tcW w:w="704" w:type="dxa"/>
            <w:vAlign w:val="center"/>
          </w:tcPr>
          <w:p w14:paraId="765969C3" w14:textId="6B87AB64" w:rsidR="00A86319" w:rsidRPr="00C25CA5" w:rsidRDefault="00A86319" w:rsidP="00A86319">
            <w:pPr>
              <w:jc w:val="center"/>
              <w:rPr>
                <w:color w:val="auto"/>
              </w:rPr>
            </w:pPr>
            <w:r w:rsidRPr="00C25CA5">
              <w:rPr>
                <w:color w:val="auto"/>
              </w:rPr>
              <w:t>7</w:t>
            </w:r>
          </w:p>
        </w:tc>
        <w:tc>
          <w:tcPr>
            <w:tcW w:w="1418" w:type="dxa"/>
            <w:vAlign w:val="center"/>
          </w:tcPr>
          <w:p w14:paraId="5F3B6708" w14:textId="26F18DDD" w:rsidR="00A86319" w:rsidRPr="00C25CA5" w:rsidRDefault="00A86319" w:rsidP="00A86319">
            <w:pPr>
              <w:jc w:val="center"/>
              <w:rPr>
                <w:color w:val="auto"/>
              </w:rPr>
            </w:pPr>
            <w:r w:rsidRPr="00C25CA5">
              <w:rPr>
                <w:color w:val="auto"/>
              </w:rPr>
              <w:t>Nhóm trồng trọt công nghệ cao</w:t>
            </w:r>
          </w:p>
        </w:tc>
        <w:tc>
          <w:tcPr>
            <w:tcW w:w="2126" w:type="dxa"/>
            <w:vAlign w:val="center"/>
          </w:tcPr>
          <w:p w14:paraId="04EC8E3A" w14:textId="68DE80A1" w:rsidR="00A86319" w:rsidRPr="00C25CA5" w:rsidRDefault="00A86319" w:rsidP="00A86319">
            <w:pPr>
              <w:jc w:val="center"/>
              <w:rPr>
                <w:color w:val="auto"/>
              </w:rPr>
            </w:pPr>
            <w:r w:rsidRPr="00C25CA5">
              <w:rPr>
                <w:color w:val="auto"/>
              </w:rPr>
              <w:t>Định mức thấp, khó áp dụng</w:t>
            </w:r>
          </w:p>
        </w:tc>
        <w:tc>
          <w:tcPr>
            <w:tcW w:w="2835" w:type="dxa"/>
            <w:vAlign w:val="center"/>
          </w:tcPr>
          <w:p w14:paraId="02190544" w14:textId="11692816" w:rsidR="00A86319" w:rsidRPr="00C25CA5" w:rsidRDefault="00A86319" w:rsidP="00A86319">
            <w:pPr>
              <w:jc w:val="center"/>
              <w:rPr>
                <w:color w:val="auto"/>
              </w:rPr>
            </w:pPr>
            <w:r w:rsidRPr="00C25CA5">
              <w:rPr>
                <w:color w:val="auto"/>
              </w:rPr>
              <w:t>Tăng định mức nhà kính, nhà lưới, tưới tiết kiệm</w:t>
            </w:r>
          </w:p>
        </w:tc>
        <w:tc>
          <w:tcPr>
            <w:tcW w:w="2268" w:type="dxa"/>
            <w:vAlign w:val="center"/>
          </w:tcPr>
          <w:p w14:paraId="14EBAC0A" w14:textId="75961BA0" w:rsidR="00A86319" w:rsidRPr="00C25CA5" w:rsidRDefault="00A86319" w:rsidP="00A86319">
            <w:pPr>
              <w:jc w:val="center"/>
              <w:rPr>
                <w:color w:val="auto"/>
              </w:rPr>
            </w:pPr>
            <w:r w:rsidRPr="00C25CA5">
              <w:rPr>
                <w:color w:val="auto"/>
              </w:rPr>
              <w:t>Tạo động lực đầu tư công nghệ</w:t>
            </w:r>
          </w:p>
        </w:tc>
      </w:tr>
      <w:tr w:rsidR="00A86319" w:rsidRPr="00C25CA5" w14:paraId="2F500988" w14:textId="77777777" w:rsidTr="0088358F">
        <w:tc>
          <w:tcPr>
            <w:tcW w:w="704" w:type="dxa"/>
            <w:vAlign w:val="center"/>
          </w:tcPr>
          <w:p w14:paraId="5251F50F" w14:textId="4EC6FE02" w:rsidR="00A86319" w:rsidRPr="00C25CA5" w:rsidRDefault="00A86319" w:rsidP="00A86319">
            <w:pPr>
              <w:jc w:val="center"/>
              <w:rPr>
                <w:color w:val="auto"/>
              </w:rPr>
            </w:pPr>
            <w:r w:rsidRPr="00C25CA5">
              <w:rPr>
                <w:color w:val="auto"/>
              </w:rPr>
              <w:t>8</w:t>
            </w:r>
          </w:p>
        </w:tc>
        <w:tc>
          <w:tcPr>
            <w:tcW w:w="1418" w:type="dxa"/>
            <w:vAlign w:val="center"/>
          </w:tcPr>
          <w:p w14:paraId="2D3314AC" w14:textId="287520C0" w:rsidR="00A86319" w:rsidRPr="00C25CA5" w:rsidRDefault="00A86319" w:rsidP="00A86319">
            <w:pPr>
              <w:jc w:val="center"/>
              <w:rPr>
                <w:color w:val="auto"/>
              </w:rPr>
            </w:pPr>
            <w:r w:rsidRPr="00C25CA5">
              <w:rPr>
                <w:color w:val="auto"/>
              </w:rPr>
              <w:t xml:space="preserve">Nguyên tắc áp </w:t>
            </w:r>
            <w:r w:rsidRPr="00C25CA5">
              <w:rPr>
                <w:color w:val="auto"/>
              </w:rPr>
              <w:lastRenderedPageBreak/>
              <w:t>dụng định mức</w:t>
            </w:r>
          </w:p>
        </w:tc>
        <w:tc>
          <w:tcPr>
            <w:tcW w:w="2126" w:type="dxa"/>
            <w:vAlign w:val="center"/>
          </w:tcPr>
          <w:p w14:paraId="1BACC442" w14:textId="46001D6C" w:rsidR="00A86319" w:rsidRPr="00C25CA5" w:rsidRDefault="00A86319" w:rsidP="00A86319">
            <w:pPr>
              <w:jc w:val="center"/>
              <w:rPr>
                <w:color w:val="auto"/>
              </w:rPr>
            </w:pPr>
            <w:r w:rsidRPr="00C25CA5">
              <w:rPr>
                <w:color w:val="auto"/>
              </w:rPr>
              <w:lastRenderedPageBreak/>
              <w:t>Chưa quy định rõ</w:t>
            </w:r>
          </w:p>
        </w:tc>
        <w:tc>
          <w:tcPr>
            <w:tcW w:w="2835" w:type="dxa"/>
            <w:vAlign w:val="center"/>
          </w:tcPr>
          <w:p w14:paraId="4DF1CD2D" w14:textId="7204797C" w:rsidR="00A86319" w:rsidRPr="00C25CA5" w:rsidRDefault="00A86319" w:rsidP="00A86319">
            <w:pPr>
              <w:jc w:val="center"/>
              <w:rPr>
                <w:color w:val="auto"/>
              </w:rPr>
            </w:pPr>
            <w:r w:rsidRPr="00C25CA5">
              <w:rPr>
                <w:color w:val="auto"/>
              </w:rPr>
              <w:t xml:space="preserve">Quy định: định mức là tối đa; thấp hơn theo thực tế; cao hơn không </w:t>
            </w:r>
            <w:r w:rsidRPr="00C25CA5">
              <w:rPr>
                <w:color w:val="auto"/>
              </w:rPr>
              <w:lastRenderedPageBreak/>
              <w:t>vượt định mức; chưa có định mức thì theo dự án được duyệt</w:t>
            </w:r>
          </w:p>
        </w:tc>
        <w:tc>
          <w:tcPr>
            <w:tcW w:w="2268" w:type="dxa"/>
            <w:vAlign w:val="center"/>
          </w:tcPr>
          <w:p w14:paraId="50590FD6" w14:textId="3FED0657" w:rsidR="00A86319" w:rsidRPr="00C25CA5" w:rsidRDefault="00A86319" w:rsidP="00A86319">
            <w:pPr>
              <w:jc w:val="center"/>
              <w:rPr>
                <w:color w:val="auto"/>
              </w:rPr>
            </w:pPr>
            <w:r w:rsidRPr="00C25CA5">
              <w:rPr>
                <w:color w:val="auto"/>
              </w:rPr>
              <w:lastRenderedPageBreak/>
              <w:t>Rõ ràng, tháo gỡ vướng mắc thực tiễn</w:t>
            </w:r>
          </w:p>
        </w:tc>
      </w:tr>
      <w:tr w:rsidR="00A86319" w:rsidRPr="00C25CA5" w14:paraId="05B2429A" w14:textId="77777777" w:rsidTr="0088358F">
        <w:tc>
          <w:tcPr>
            <w:tcW w:w="704" w:type="dxa"/>
            <w:vAlign w:val="center"/>
          </w:tcPr>
          <w:p w14:paraId="2C8A6DE4" w14:textId="597DFF41" w:rsidR="00A86319" w:rsidRPr="00C25CA5" w:rsidRDefault="00A86319" w:rsidP="00A86319">
            <w:pPr>
              <w:jc w:val="center"/>
              <w:rPr>
                <w:color w:val="auto"/>
              </w:rPr>
            </w:pPr>
            <w:r w:rsidRPr="00C25CA5">
              <w:rPr>
                <w:color w:val="auto"/>
              </w:rPr>
              <w:t>9</w:t>
            </w:r>
          </w:p>
        </w:tc>
        <w:tc>
          <w:tcPr>
            <w:tcW w:w="1418" w:type="dxa"/>
            <w:vAlign w:val="center"/>
          </w:tcPr>
          <w:p w14:paraId="55A6823E" w14:textId="59A4C120" w:rsidR="00A86319" w:rsidRPr="00C25CA5" w:rsidRDefault="00A86319" w:rsidP="00A86319">
            <w:pPr>
              <w:jc w:val="center"/>
              <w:rPr>
                <w:color w:val="auto"/>
              </w:rPr>
            </w:pPr>
            <w:r w:rsidRPr="00C25CA5">
              <w:rPr>
                <w:color w:val="auto"/>
              </w:rPr>
              <w:t>Cơ chế điều chỉnh định mức</w:t>
            </w:r>
          </w:p>
        </w:tc>
        <w:tc>
          <w:tcPr>
            <w:tcW w:w="2126" w:type="dxa"/>
            <w:vAlign w:val="center"/>
          </w:tcPr>
          <w:p w14:paraId="6FDF6A20" w14:textId="33764956" w:rsidR="00A86319" w:rsidRPr="00C25CA5" w:rsidRDefault="00A86319" w:rsidP="00A86319">
            <w:pPr>
              <w:jc w:val="center"/>
              <w:rPr>
                <w:color w:val="auto"/>
              </w:rPr>
            </w:pPr>
            <w:r w:rsidRPr="00C25CA5">
              <w:rPr>
                <w:color w:val="auto"/>
              </w:rPr>
              <w:t>Không có quy định</w:t>
            </w:r>
          </w:p>
        </w:tc>
        <w:tc>
          <w:tcPr>
            <w:tcW w:w="2835" w:type="dxa"/>
            <w:vAlign w:val="center"/>
          </w:tcPr>
          <w:p w14:paraId="68F73327" w14:textId="747EBC5D" w:rsidR="00A86319" w:rsidRPr="00C25CA5" w:rsidRDefault="00A86319" w:rsidP="00A86319">
            <w:pPr>
              <w:jc w:val="center"/>
              <w:rPr>
                <w:color w:val="auto"/>
              </w:rPr>
            </w:pPr>
            <w:r w:rsidRPr="00C25CA5">
              <w:rPr>
                <w:color w:val="auto"/>
              </w:rPr>
              <w:t>Bổ sung điều chỉnh theo chỉ số giá xây dựng:</w:t>
            </w:r>
          </w:p>
        </w:tc>
        <w:tc>
          <w:tcPr>
            <w:tcW w:w="2268" w:type="dxa"/>
            <w:vAlign w:val="center"/>
          </w:tcPr>
          <w:p w14:paraId="6E723DCD" w14:textId="3E619A7D" w:rsidR="00A86319" w:rsidRPr="00C25CA5" w:rsidRDefault="00A86319" w:rsidP="00A86319">
            <w:pPr>
              <w:jc w:val="center"/>
              <w:rPr>
                <w:color w:val="auto"/>
              </w:rPr>
            </w:pPr>
            <w:r w:rsidRPr="00C25CA5">
              <w:rPr>
                <w:color w:val="auto"/>
              </w:rPr>
              <w:t>Điểm mới quan trọng, tăng tính linh hoạt</w:t>
            </w:r>
          </w:p>
        </w:tc>
      </w:tr>
      <w:tr w:rsidR="00A86319" w:rsidRPr="00C25CA5" w14:paraId="7DF54A20" w14:textId="77777777" w:rsidTr="0088358F">
        <w:tc>
          <w:tcPr>
            <w:tcW w:w="704" w:type="dxa"/>
            <w:vAlign w:val="center"/>
          </w:tcPr>
          <w:p w14:paraId="433C34F5" w14:textId="5B963024" w:rsidR="00A86319" w:rsidRPr="00C25CA5" w:rsidRDefault="00A86319" w:rsidP="00A86319">
            <w:pPr>
              <w:jc w:val="center"/>
              <w:rPr>
                <w:color w:val="auto"/>
              </w:rPr>
            </w:pPr>
            <w:r w:rsidRPr="00C25CA5">
              <w:rPr>
                <w:color w:val="auto"/>
              </w:rPr>
              <w:t>10</w:t>
            </w:r>
          </w:p>
        </w:tc>
        <w:tc>
          <w:tcPr>
            <w:tcW w:w="1418" w:type="dxa"/>
            <w:vAlign w:val="center"/>
          </w:tcPr>
          <w:p w14:paraId="77C8743E" w14:textId="5C7089B1" w:rsidR="00A86319" w:rsidRPr="00C25CA5" w:rsidRDefault="00A86319" w:rsidP="00A86319">
            <w:pPr>
              <w:jc w:val="center"/>
              <w:rPr>
                <w:color w:val="auto"/>
              </w:rPr>
            </w:pPr>
            <w:r w:rsidRPr="00C25CA5">
              <w:rPr>
                <w:color w:val="auto"/>
              </w:rPr>
              <w:t>Quy định chuyển tiếp</w:t>
            </w:r>
          </w:p>
        </w:tc>
        <w:tc>
          <w:tcPr>
            <w:tcW w:w="2126" w:type="dxa"/>
            <w:vAlign w:val="center"/>
          </w:tcPr>
          <w:p w14:paraId="6020552C" w14:textId="7CB7ED0D" w:rsidR="00A86319" w:rsidRPr="00C25CA5" w:rsidRDefault="00A86319" w:rsidP="00A86319">
            <w:pPr>
              <w:jc w:val="center"/>
              <w:rPr>
                <w:color w:val="auto"/>
              </w:rPr>
            </w:pPr>
            <w:r w:rsidRPr="00C25CA5">
              <w:rPr>
                <w:color w:val="auto"/>
              </w:rPr>
              <w:t>Chưa quy định hoặc chưa rõ</w:t>
            </w:r>
          </w:p>
        </w:tc>
        <w:tc>
          <w:tcPr>
            <w:tcW w:w="2835" w:type="dxa"/>
            <w:vAlign w:val="center"/>
          </w:tcPr>
          <w:p w14:paraId="5370737E" w14:textId="00C54A6F" w:rsidR="00A86319" w:rsidRPr="00C25CA5" w:rsidRDefault="00A86319" w:rsidP="00A86319">
            <w:pPr>
              <w:jc w:val="center"/>
              <w:rPr>
                <w:color w:val="auto"/>
              </w:rPr>
            </w:pPr>
            <w:r w:rsidRPr="00C25CA5">
              <w:rPr>
                <w:color w:val="auto"/>
              </w:rPr>
              <w:t>Quy định 2 trường hợp: (1) đã thực hiện giữ nguyên; (2) chưa phê duyệt điều chỉnh theo định mức mới</w:t>
            </w:r>
          </w:p>
        </w:tc>
        <w:tc>
          <w:tcPr>
            <w:tcW w:w="2268" w:type="dxa"/>
            <w:vAlign w:val="center"/>
          </w:tcPr>
          <w:p w14:paraId="1C0B81F1" w14:textId="31764EA3" w:rsidR="00A86319" w:rsidRPr="00C25CA5" w:rsidRDefault="00A86319" w:rsidP="00A86319">
            <w:pPr>
              <w:jc w:val="center"/>
              <w:rPr>
                <w:color w:val="auto"/>
              </w:rPr>
            </w:pPr>
            <w:r w:rsidRPr="00C25CA5">
              <w:rPr>
                <w:color w:val="auto"/>
              </w:rPr>
              <w:t>Đảm bảo ổn định, tránh xáo trộn</w:t>
            </w:r>
          </w:p>
        </w:tc>
      </w:tr>
      <w:tr w:rsidR="00A86319" w:rsidRPr="00C25CA5" w14:paraId="1E5E6110" w14:textId="77777777" w:rsidTr="0088358F">
        <w:tc>
          <w:tcPr>
            <w:tcW w:w="704" w:type="dxa"/>
            <w:vAlign w:val="center"/>
          </w:tcPr>
          <w:p w14:paraId="4FF9A58E" w14:textId="42B90404" w:rsidR="00A86319" w:rsidRPr="00C25CA5" w:rsidRDefault="00A86319" w:rsidP="00A86319">
            <w:pPr>
              <w:jc w:val="center"/>
              <w:rPr>
                <w:color w:val="auto"/>
              </w:rPr>
            </w:pPr>
            <w:r w:rsidRPr="00C25CA5">
              <w:rPr>
                <w:color w:val="auto"/>
              </w:rPr>
              <w:t>11</w:t>
            </w:r>
          </w:p>
        </w:tc>
        <w:tc>
          <w:tcPr>
            <w:tcW w:w="1418" w:type="dxa"/>
            <w:vAlign w:val="center"/>
          </w:tcPr>
          <w:p w14:paraId="37511B1E" w14:textId="32050054" w:rsidR="00A86319" w:rsidRPr="00C25CA5" w:rsidRDefault="00A86319" w:rsidP="00A86319">
            <w:pPr>
              <w:jc w:val="center"/>
              <w:rPr>
                <w:color w:val="auto"/>
              </w:rPr>
            </w:pPr>
            <w:r w:rsidRPr="00C25CA5">
              <w:rPr>
                <w:color w:val="auto"/>
              </w:rPr>
              <w:t>Điều khoản thi hành</w:t>
            </w:r>
          </w:p>
        </w:tc>
        <w:tc>
          <w:tcPr>
            <w:tcW w:w="2126" w:type="dxa"/>
            <w:vAlign w:val="center"/>
          </w:tcPr>
          <w:p w14:paraId="3D8A2245" w14:textId="5FB112DA" w:rsidR="00A86319" w:rsidRPr="00C25CA5" w:rsidRDefault="00A86319" w:rsidP="00A86319">
            <w:pPr>
              <w:jc w:val="center"/>
              <w:rPr>
                <w:color w:val="auto"/>
              </w:rPr>
            </w:pPr>
            <w:r w:rsidRPr="00C25CA5">
              <w:rPr>
                <w:color w:val="auto"/>
              </w:rPr>
              <w:t>Áp dụng riêng từng tỉnh</w:t>
            </w:r>
          </w:p>
        </w:tc>
        <w:tc>
          <w:tcPr>
            <w:tcW w:w="2835" w:type="dxa"/>
            <w:vAlign w:val="center"/>
          </w:tcPr>
          <w:p w14:paraId="775178C5" w14:textId="272D181A" w:rsidR="00A86319" w:rsidRPr="00C25CA5" w:rsidRDefault="00A86319" w:rsidP="00A86319">
            <w:pPr>
              <w:jc w:val="center"/>
              <w:rPr>
                <w:color w:val="auto"/>
              </w:rPr>
            </w:pPr>
            <w:r w:rsidRPr="00C25CA5">
              <w:rPr>
                <w:color w:val="auto"/>
              </w:rPr>
              <w:t>Bãi bỏ đồng thời QĐ 20/2020 và QĐ 06/2021</w:t>
            </w:r>
          </w:p>
        </w:tc>
        <w:tc>
          <w:tcPr>
            <w:tcW w:w="2268" w:type="dxa"/>
            <w:vAlign w:val="center"/>
          </w:tcPr>
          <w:p w14:paraId="0B931741" w14:textId="08026E4C" w:rsidR="00A86319" w:rsidRPr="00C25CA5" w:rsidRDefault="00A86319" w:rsidP="00A86319">
            <w:pPr>
              <w:jc w:val="center"/>
              <w:rPr>
                <w:color w:val="auto"/>
              </w:rPr>
            </w:pPr>
            <w:r w:rsidRPr="00C25CA5">
              <w:rPr>
                <w:color w:val="auto"/>
              </w:rPr>
              <w:t>Thống nhất hệ thống pháp luật sau sáp nhập</w:t>
            </w:r>
          </w:p>
        </w:tc>
      </w:tr>
      <w:tr w:rsidR="00A86319" w:rsidRPr="00C25CA5" w14:paraId="720C1738" w14:textId="77777777" w:rsidTr="0088358F">
        <w:tc>
          <w:tcPr>
            <w:tcW w:w="704" w:type="dxa"/>
            <w:vAlign w:val="center"/>
          </w:tcPr>
          <w:p w14:paraId="77283860" w14:textId="629BB891" w:rsidR="00A86319" w:rsidRPr="00C25CA5" w:rsidRDefault="00A86319" w:rsidP="00A86319">
            <w:pPr>
              <w:jc w:val="center"/>
              <w:rPr>
                <w:color w:val="auto"/>
              </w:rPr>
            </w:pPr>
            <w:r w:rsidRPr="00C25CA5">
              <w:rPr>
                <w:color w:val="auto"/>
              </w:rPr>
              <w:t>12</w:t>
            </w:r>
          </w:p>
        </w:tc>
        <w:tc>
          <w:tcPr>
            <w:tcW w:w="1418" w:type="dxa"/>
            <w:vAlign w:val="center"/>
          </w:tcPr>
          <w:p w14:paraId="5D07A9FE" w14:textId="44DC42E8" w:rsidR="00A86319" w:rsidRPr="00C25CA5" w:rsidRDefault="00A86319" w:rsidP="00A86319">
            <w:pPr>
              <w:jc w:val="center"/>
              <w:rPr>
                <w:color w:val="auto"/>
              </w:rPr>
            </w:pPr>
            <w:r w:rsidRPr="00C25CA5">
              <w:rPr>
                <w:color w:val="auto"/>
              </w:rPr>
              <w:t>Tính đồng bộ pháp lý</w:t>
            </w:r>
          </w:p>
        </w:tc>
        <w:tc>
          <w:tcPr>
            <w:tcW w:w="2126" w:type="dxa"/>
            <w:vAlign w:val="center"/>
          </w:tcPr>
          <w:p w14:paraId="0A115D81" w14:textId="2D4A7750" w:rsidR="00A86319" w:rsidRPr="00C25CA5" w:rsidRDefault="00A86319" w:rsidP="00A86319">
            <w:pPr>
              <w:jc w:val="center"/>
              <w:rPr>
                <w:color w:val="auto"/>
              </w:rPr>
            </w:pPr>
            <w:r w:rsidRPr="00C25CA5">
              <w:rPr>
                <w:color w:val="auto"/>
              </w:rPr>
              <w:t>Chưa cập nhật đầy đủ quy định mới</w:t>
            </w:r>
          </w:p>
        </w:tc>
        <w:tc>
          <w:tcPr>
            <w:tcW w:w="2835" w:type="dxa"/>
            <w:vAlign w:val="center"/>
          </w:tcPr>
          <w:p w14:paraId="573CC460" w14:textId="1CCFFFB2" w:rsidR="00A86319" w:rsidRPr="00C25CA5" w:rsidRDefault="00A86319" w:rsidP="00A86319">
            <w:pPr>
              <w:jc w:val="center"/>
              <w:rPr>
                <w:color w:val="auto"/>
              </w:rPr>
            </w:pPr>
            <w:r w:rsidRPr="00C25CA5">
              <w:rPr>
                <w:color w:val="auto"/>
              </w:rPr>
              <w:t>Bám sát Nghị định 57/2018/NĐ-CP và văn bản liên quan</w:t>
            </w:r>
          </w:p>
        </w:tc>
        <w:tc>
          <w:tcPr>
            <w:tcW w:w="2268" w:type="dxa"/>
            <w:vAlign w:val="center"/>
          </w:tcPr>
          <w:p w14:paraId="51467EA6" w14:textId="72911C03" w:rsidR="00A86319" w:rsidRPr="00C25CA5" w:rsidRDefault="00A86319" w:rsidP="00A86319">
            <w:pPr>
              <w:jc w:val="center"/>
              <w:rPr>
                <w:color w:val="auto"/>
              </w:rPr>
            </w:pPr>
            <w:r w:rsidRPr="00C25CA5">
              <w:rPr>
                <w:color w:val="auto"/>
              </w:rPr>
              <w:t>Bảo đảm tính hợp pháp, đồng bộ</w:t>
            </w:r>
          </w:p>
        </w:tc>
      </w:tr>
      <w:tr w:rsidR="00A86319" w:rsidRPr="00C25CA5" w14:paraId="0508B4E5" w14:textId="77777777" w:rsidTr="0088358F">
        <w:tc>
          <w:tcPr>
            <w:tcW w:w="704" w:type="dxa"/>
            <w:vAlign w:val="center"/>
          </w:tcPr>
          <w:p w14:paraId="6F0C1C58" w14:textId="46561802" w:rsidR="00A86319" w:rsidRPr="00C25CA5" w:rsidRDefault="00A86319" w:rsidP="00A86319">
            <w:pPr>
              <w:jc w:val="center"/>
              <w:rPr>
                <w:color w:val="auto"/>
              </w:rPr>
            </w:pPr>
            <w:r w:rsidRPr="00C25CA5">
              <w:rPr>
                <w:color w:val="auto"/>
              </w:rPr>
              <w:t>13</w:t>
            </w:r>
          </w:p>
        </w:tc>
        <w:tc>
          <w:tcPr>
            <w:tcW w:w="1418" w:type="dxa"/>
            <w:vAlign w:val="center"/>
          </w:tcPr>
          <w:p w14:paraId="3EA84638" w14:textId="01EEA506" w:rsidR="00A86319" w:rsidRPr="00C25CA5" w:rsidRDefault="00A86319" w:rsidP="00A86319">
            <w:pPr>
              <w:jc w:val="center"/>
              <w:rPr>
                <w:color w:val="auto"/>
              </w:rPr>
            </w:pPr>
            <w:r w:rsidRPr="00C25CA5">
              <w:rPr>
                <w:color w:val="auto"/>
              </w:rPr>
              <w:t>Tính khả thi</w:t>
            </w:r>
          </w:p>
        </w:tc>
        <w:tc>
          <w:tcPr>
            <w:tcW w:w="2126" w:type="dxa"/>
            <w:vAlign w:val="center"/>
          </w:tcPr>
          <w:p w14:paraId="589A9BB3" w14:textId="682EEBFD" w:rsidR="00A86319" w:rsidRPr="00C25CA5" w:rsidRDefault="00A86319" w:rsidP="00A86319">
            <w:pPr>
              <w:jc w:val="center"/>
              <w:rPr>
                <w:color w:val="auto"/>
              </w:rPr>
            </w:pPr>
            <w:r w:rsidRPr="00C25CA5">
              <w:rPr>
                <w:color w:val="auto"/>
              </w:rPr>
              <w:t>Khó áp dụng do định mức thấp</w:t>
            </w:r>
          </w:p>
        </w:tc>
        <w:tc>
          <w:tcPr>
            <w:tcW w:w="2835" w:type="dxa"/>
            <w:vAlign w:val="center"/>
          </w:tcPr>
          <w:p w14:paraId="3E53F533" w14:textId="6B202E5C" w:rsidR="00A86319" w:rsidRPr="00C25CA5" w:rsidRDefault="00A86319" w:rsidP="00A86319">
            <w:pPr>
              <w:jc w:val="center"/>
              <w:rPr>
                <w:color w:val="auto"/>
              </w:rPr>
            </w:pPr>
            <w:r w:rsidRPr="00C25CA5">
              <w:rPr>
                <w:color w:val="auto"/>
              </w:rPr>
              <w:t>Phù hợp thực tế, có cơ chế điều chỉnh linh hoạt</w:t>
            </w:r>
          </w:p>
        </w:tc>
        <w:tc>
          <w:tcPr>
            <w:tcW w:w="2268" w:type="dxa"/>
            <w:vAlign w:val="center"/>
          </w:tcPr>
          <w:p w14:paraId="35F270D5" w14:textId="4C9F7D60" w:rsidR="00A86319" w:rsidRPr="00C25CA5" w:rsidRDefault="00A86319" w:rsidP="00A86319">
            <w:pPr>
              <w:jc w:val="center"/>
              <w:rPr>
                <w:color w:val="auto"/>
              </w:rPr>
            </w:pPr>
            <w:r w:rsidRPr="00C25CA5">
              <w:rPr>
                <w:color w:val="auto"/>
              </w:rPr>
              <w:t>Nâng cao hiệu quả thực hiện</w:t>
            </w:r>
          </w:p>
        </w:tc>
      </w:tr>
    </w:tbl>
    <w:p w14:paraId="3A76B311" w14:textId="77777777" w:rsidR="0026548A" w:rsidRPr="0026548A" w:rsidRDefault="0026548A" w:rsidP="000428A9">
      <w:pPr>
        <w:ind w:firstLine="720"/>
        <w:rPr>
          <w:b/>
          <w:bCs/>
          <w:i/>
          <w:iCs/>
          <w:color w:val="auto"/>
          <w:sz w:val="16"/>
          <w:szCs w:val="16"/>
        </w:rPr>
      </w:pPr>
    </w:p>
    <w:p w14:paraId="7E804DDB" w14:textId="08E7AA23" w:rsidR="005A732B" w:rsidRPr="00C25CA5" w:rsidRDefault="000428A9" w:rsidP="0026548A">
      <w:pPr>
        <w:spacing w:after="100" w:line="254" w:lineRule="auto"/>
        <w:ind w:firstLine="720"/>
        <w:rPr>
          <w:color w:val="auto"/>
        </w:rPr>
      </w:pPr>
      <w:r w:rsidRPr="00C25CA5">
        <w:rPr>
          <w:b/>
          <w:bCs/>
          <w:i/>
          <w:iCs/>
          <w:color w:val="auto"/>
        </w:rPr>
        <w:t>* Đánh giá chung:</w:t>
      </w:r>
      <w:r w:rsidRPr="00C25CA5">
        <w:rPr>
          <w:color w:val="auto"/>
        </w:rPr>
        <w:t xml:space="preserve"> </w:t>
      </w:r>
      <w:r w:rsidR="00A86319" w:rsidRPr="00C25CA5">
        <w:rPr>
          <w:color w:val="auto"/>
        </w:rPr>
        <w:t xml:space="preserve">Quy </w:t>
      </w:r>
      <w:r w:rsidR="005A732B" w:rsidRPr="00C25CA5">
        <w:rPr>
          <w:color w:val="auto"/>
        </w:rPr>
        <w:t>định định mức hỗ trợ khuyến khích doanh nghiệp đầu tư vào nông nghiệp, nông thôn</w:t>
      </w:r>
      <w:r w:rsidR="00A86319" w:rsidRPr="00C25CA5">
        <w:rPr>
          <w:color w:val="auto"/>
        </w:rPr>
        <w:t xml:space="preserve"> </w:t>
      </w:r>
      <w:r w:rsidR="005A732B" w:rsidRPr="00C25CA5">
        <w:rPr>
          <w:color w:val="auto"/>
        </w:rPr>
        <w:t>Dự thảo Quyết định kế thừa có chọn lọc nội dung của QĐ 20/2020 và QĐ 06/2021;</w:t>
      </w:r>
      <w:r w:rsidRPr="00C25CA5">
        <w:rPr>
          <w:color w:val="auto"/>
        </w:rPr>
        <w:t xml:space="preserve"> </w:t>
      </w:r>
      <w:r w:rsidR="005A732B" w:rsidRPr="00C25CA5">
        <w:rPr>
          <w:color w:val="auto"/>
        </w:rPr>
        <w:t>Việc điều chỉnh chủ yếu nhằm thống nhất áp dụng sau sáp nhập, không tạo ra chính sách hỗ trợ mới;</w:t>
      </w:r>
      <w:r w:rsidRPr="00C25CA5">
        <w:rPr>
          <w:color w:val="auto"/>
        </w:rPr>
        <w:t xml:space="preserve"> </w:t>
      </w:r>
      <w:r w:rsidR="005A732B" w:rsidRPr="00C25CA5">
        <w:rPr>
          <w:color w:val="auto"/>
        </w:rPr>
        <w:t>Không làm phát sinh nghĩa vụ ngân sách vượt khung đã được quy định trước đây.</w:t>
      </w:r>
    </w:p>
    <w:p w14:paraId="6440B99C" w14:textId="6B98C3E3" w:rsidR="00270D21" w:rsidRPr="00C25CA5" w:rsidRDefault="00270D21" w:rsidP="0026548A">
      <w:pPr>
        <w:tabs>
          <w:tab w:val="right" w:pos="7920"/>
        </w:tabs>
        <w:spacing w:after="100" w:line="254" w:lineRule="auto"/>
        <w:ind w:firstLine="720"/>
        <w:jc w:val="both"/>
        <w:rPr>
          <w:b/>
          <w:bCs/>
          <w:color w:val="auto"/>
        </w:rPr>
      </w:pPr>
      <w:r w:rsidRPr="00C25CA5">
        <w:rPr>
          <w:b/>
          <w:bCs/>
          <w:color w:val="auto"/>
        </w:rPr>
        <w:t>III. THUYẾT MINH NỘI DUNG CHÍNH</w:t>
      </w:r>
    </w:p>
    <w:p w14:paraId="5A451ACA" w14:textId="092584C4" w:rsidR="000428A9" w:rsidRPr="00C25CA5" w:rsidRDefault="000428A9" w:rsidP="0026548A">
      <w:pPr>
        <w:tabs>
          <w:tab w:val="right" w:pos="7920"/>
        </w:tabs>
        <w:spacing w:after="100" w:line="254" w:lineRule="auto"/>
        <w:ind w:firstLine="720"/>
        <w:jc w:val="both"/>
        <w:rPr>
          <w:color w:val="auto"/>
        </w:rPr>
      </w:pPr>
      <w:r w:rsidRPr="00C25CA5">
        <w:rPr>
          <w:color w:val="auto"/>
        </w:rPr>
        <w:t>Dự thảo Quyết định quy định định mức hỗ trợ đối với các hạng mục, công trình thuộc dự án khuyến khích doanh nghiệp đầu tư vào nông nghiệp, nông thôn trên địa bàn tỉnh, bảo đảm phù hợp Nghị định số 57/2018/NĐ-CP và thực tiễn địa phương. Nội dung chính:</w:t>
      </w:r>
    </w:p>
    <w:p w14:paraId="2821A109" w14:textId="394554BF" w:rsidR="000428A9" w:rsidRPr="00C25CA5" w:rsidRDefault="000428A9" w:rsidP="0026548A">
      <w:pPr>
        <w:tabs>
          <w:tab w:val="right" w:pos="7920"/>
        </w:tabs>
        <w:spacing w:after="100" w:line="254" w:lineRule="auto"/>
        <w:ind w:firstLine="720"/>
        <w:jc w:val="both"/>
        <w:rPr>
          <w:color w:val="auto"/>
        </w:rPr>
      </w:pPr>
      <w:r w:rsidRPr="00C25CA5">
        <w:rPr>
          <w:b/>
          <w:bCs/>
          <w:color w:val="auto"/>
        </w:rPr>
        <w:t>1. Về phạm vi, đối tượng:</w:t>
      </w:r>
      <w:r w:rsidRPr="00C25CA5">
        <w:rPr>
          <w:color w:val="auto"/>
        </w:rPr>
        <w:t xml:space="preserve"> Quy định rõ đối tượng áp dụng là doanh nghiệp có dự án đáp ứng điều kiện theo quy định của Trung ương, bảo đảm thống nhất và tránh áp dụng sai. </w:t>
      </w:r>
    </w:p>
    <w:p w14:paraId="2D2B8E18" w14:textId="7C89D8DA" w:rsidR="000428A9" w:rsidRPr="00C25CA5" w:rsidRDefault="000428A9" w:rsidP="0026548A">
      <w:pPr>
        <w:tabs>
          <w:tab w:val="right" w:pos="7920"/>
        </w:tabs>
        <w:spacing w:after="100" w:line="254" w:lineRule="auto"/>
        <w:ind w:firstLine="720"/>
        <w:jc w:val="both"/>
        <w:rPr>
          <w:color w:val="auto"/>
        </w:rPr>
      </w:pPr>
      <w:r w:rsidRPr="00C25CA5">
        <w:rPr>
          <w:b/>
          <w:bCs/>
          <w:color w:val="auto"/>
        </w:rPr>
        <w:t>2. Về định mức hỗ trợ:</w:t>
      </w:r>
      <w:r w:rsidRPr="00C25CA5">
        <w:rPr>
          <w:color w:val="auto"/>
        </w:rPr>
        <w:t xml:space="preserve"> Điều chỉnh định mức theo hướng tăng phù hợp với mặt bằng giá (khoảng 30–70%), đồng thời bổ sung các hạng mục còn thiếu và hài hòa với định mức của tỉnh Hà Giang. </w:t>
      </w:r>
    </w:p>
    <w:p w14:paraId="7AF6EE8E" w14:textId="319C16DB" w:rsidR="000428A9" w:rsidRPr="00C25CA5" w:rsidRDefault="000428A9" w:rsidP="0026548A">
      <w:pPr>
        <w:tabs>
          <w:tab w:val="right" w:pos="7920"/>
        </w:tabs>
        <w:spacing w:after="100" w:line="254" w:lineRule="auto"/>
        <w:ind w:firstLine="720"/>
        <w:jc w:val="both"/>
        <w:rPr>
          <w:color w:val="auto"/>
        </w:rPr>
      </w:pPr>
      <w:r w:rsidRPr="00C25CA5">
        <w:rPr>
          <w:b/>
          <w:bCs/>
          <w:color w:val="auto"/>
        </w:rPr>
        <w:lastRenderedPageBreak/>
        <w:t>3. Về nguyên tắc áp dụng:</w:t>
      </w:r>
      <w:r w:rsidRPr="00C25CA5">
        <w:rPr>
          <w:color w:val="auto"/>
        </w:rPr>
        <w:t xml:space="preserve"> Xác định định mức là mức tối đa; linh hoạt theo thực tế; bổ sung cơ chế xử lý đối với các hạng mục chưa có định mức. </w:t>
      </w:r>
    </w:p>
    <w:p w14:paraId="051F47FC" w14:textId="63373FAA" w:rsidR="000428A9" w:rsidRPr="00C25CA5" w:rsidRDefault="000428A9" w:rsidP="0026548A">
      <w:pPr>
        <w:tabs>
          <w:tab w:val="right" w:pos="7920"/>
        </w:tabs>
        <w:spacing w:after="100" w:line="254" w:lineRule="auto"/>
        <w:ind w:firstLine="720"/>
        <w:jc w:val="both"/>
        <w:rPr>
          <w:color w:val="auto"/>
        </w:rPr>
      </w:pPr>
      <w:r w:rsidRPr="00C25CA5">
        <w:rPr>
          <w:b/>
          <w:bCs/>
          <w:color w:val="auto"/>
        </w:rPr>
        <w:t>4. Về cơ chế điều chỉnh:</w:t>
      </w:r>
      <w:r w:rsidRPr="00C25CA5">
        <w:rPr>
          <w:color w:val="auto"/>
        </w:rPr>
        <w:t xml:space="preserve"> Bổ sung điều chỉnh theo chỉ số giá xây dựng</w:t>
      </w:r>
      <w:r w:rsidR="0038228C" w:rsidRPr="00C25CA5">
        <w:rPr>
          <w:color w:val="auto"/>
        </w:rPr>
        <w:t>, b</w:t>
      </w:r>
      <w:r w:rsidRPr="00C25CA5">
        <w:rPr>
          <w:color w:val="auto"/>
        </w:rPr>
        <w:t>ảo đảm cập nhật theo biến động thị trường, hạn chế phải sửa đổi văn bản.</w:t>
      </w:r>
    </w:p>
    <w:p w14:paraId="1C19313E" w14:textId="5CFCE973" w:rsidR="000428A9" w:rsidRPr="00C25CA5" w:rsidRDefault="0038228C" w:rsidP="0026548A">
      <w:pPr>
        <w:tabs>
          <w:tab w:val="right" w:pos="7920"/>
        </w:tabs>
        <w:spacing w:after="100" w:line="254" w:lineRule="auto"/>
        <w:ind w:firstLine="720"/>
        <w:jc w:val="both"/>
        <w:rPr>
          <w:color w:val="auto"/>
        </w:rPr>
      </w:pPr>
      <w:r w:rsidRPr="00C25CA5">
        <w:rPr>
          <w:b/>
          <w:bCs/>
          <w:color w:val="auto"/>
        </w:rPr>
        <w:t xml:space="preserve">5. </w:t>
      </w:r>
      <w:r w:rsidR="000428A9" w:rsidRPr="00C25CA5">
        <w:rPr>
          <w:b/>
          <w:bCs/>
          <w:color w:val="auto"/>
        </w:rPr>
        <w:t>Về chuyển tiếp và thi hành:</w:t>
      </w:r>
      <w:r w:rsidRPr="00C25CA5">
        <w:rPr>
          <w:color w:val="auto"/>
        </w:rPr>
        <w:t xml:space="preserve"> </w:t>
      </w:r>
      <w:r w:rsidR="000428A9" w:rsidRPr="00C25CA5">
        <w:rPr>
          <w:color w:val="auto"/>
        </w:rPr>
        <w:t xml:space="preserve">Quy định rõ xử lý đối với dự án đang thực hiện; đồng thời bãi bỏ các Quyết định cũ để thống nhất áp dụng. </w:t>
      </w:r>
    </w:p>
    <w:p w14:paraId="21B4FD18" w14:textId="77777777" w:rsidR="00270D21" w:rsidRPr="00C25CA5" w:rsidRDefault="00270D21" w:rsidP="0026548A">
      <w:pPr>
        <w:tabs>
          <w:tab w:val="right" w:pos="7920"/>
        </w:tabs>
        <w:spacing w:after="100" w:line="254" w:lineRule="auto"/>
        <w:ind w:firstLine="720"/>
        <w:jc w:val="both"/>
        <w:rPr>
          <w:b/>
          <w:bCs/>
          <w:color w:val="auto"/>
        </w:rPr>
      </w:pPr>
      <w:r w:rsidRPr="00C25CA5">
        <w:rPr>
          <w:b/>
          <w:bCs/>
          <w:color w:val="auto"/>
        </w:rPr>
        <w:t>IV. ĐÁNH GIÁ TÁC ĐỘNG</w:t>
      </w:r>
    </w:p>
    <w:p w14:paraId="70BA39A7" w14:textId="77777777" w:rsidR="000428A9" w:rsidRPr="00C25CA5" w:rsidRDefault="000428A9" w:rsidP="0026548A">
      <w:pPr>
        <w:tabs>
          <w:tab w:val="right" w:pos="7920"/>
        </w:tabs>
        <w:spacing w:after="100" w:line="254" w:lineRule="auto"/>
        <w:ind w:firstLine="720"/>
        <w:jc w:val="both"/>
        <w:rPr>
          <w:b/>
          <w:bCs/>
          <w:color w:val="auto"/>
        </w:rPr>
      </w:pPr>
      <w:r w:rsidRPr="00C25CA5">
        <w:rPr>
          <w:b/>
          <w:bCs/>
          <w:color w:val="auto"/>
        </w:rPr>
        <w:t>1. Tác động tích cực</w:t>
      </w:r>
    </w:p>
    <w:p w14:paraId="3342B474" w14:textId="5C5A4E95" w:rsidR="000428A9" w:rsidRPr="00C25CA5" w:rsidRDefault="0038228C" w:rsidP="0026548A">
      <w:pPr>
        <w:tabs>
          <w:tab w:val="right" w:pos="7920"/>
        </w:tabs>
        <w:spacing w:after="100" w:line="254" w:lineRule="auto"/>
        <w:ind w:firstLine="720"/>
        <w:jc w:val="both"/>
        <w:rPr>
          <w:color w:val="auto"/>
        </w:rPr>
      </w:pPr>
      <w:r w:rsidRPr="00C25CA5">
        <w:rPr>
          <w:color w:val="auto"/>
        </w:rPr>
        <w:t xml:space="preserve">- </w:t>
      </w:r>
      <w:r w:rsidR="000428A9" w:rsidRPr="00C25CA5">
        <w:rPr>
          <w:color w:val="auto"/>
        </w:rPr>
        <w:t>Đối với doanh nghiệp:</w:t>
      </w:r>
      <w:r w:rsidRPr="00C25CA5">
        <w:rPr>
          <w:color w:val="auto"/>
        </w:rPr>
        <w:t xml:space="preserve"> </w:t>
      </w:r>
      <w:r w:rsidR="000428A9" w:rsidRPr="00C25CA5">
        <w:rPr>
          <w:color w:val="auto"/>
        </w:rPr>
        <w:t xml:space="preserve">Định mức được điều chỉnh sát thực tế, tạo điều kiện thuận lợi trong lập và triển khai dự án, góp phần thu hút đầu tư vào nông nghiệp, nông thôn. </w:t>
      </w:r>
    </w:p>
    <w:p w14:paraId="2111987D" w14:textId="2C4AEC64" w:rsidR="000428A9" w:rsidRPr="00C25CA5" w:rsidRDefault="0038228C" w:rsidP="0026548A">
      <w:pPr>
        <w:tabs>
          <w:tab w:val="right" w:pos="7920"/>
        </w:tabs>
        <w:spacing w:after="100" w:line="254" w:lineRule="auto"/>
        <w:ind w:firstLine="720"/>
        <w:jc w:val="both"/>
        <w:rPr>
          <w:color w:val="auto"/>
        </w:rPr>
      </w:pPr>
      <w:r w:rsidRPr="00C25CA5">
        <w:rPr>
          <w:color w:val="auto"/>
        </w:rPr>
        <w:t xml:space="preserve">- </w:t>
      </w:r>
      <w:r w:rsidR="000428A9" w:rsidRPr="00C25CA5">
        <w:rPr>
          <w:color w:val="auto"/>
        </w:rPr>
        <w:t>Đối với quản lý nhà nước:</w:t>
      </w:r>
      <w:r w:rsidRPr="00C25CA5">
        <w:rPr>
          <w:color w:val="auto"/>
        </w:rPr>
        <w:t xml:space="preserve"> </w:t>
      </w:r>
      <w:r w:rsidR="000428A9" w:rsidRPr="00C25CA5">
        <w:rPr>
          <w:color w:val="auto"/>
        </w:rPr>
        <w:t xml:space="preserve">Làm rõ cơ sở xác định mức hỗ trợ, giảm vướng mắc trong thẩm định, phê duyệt và thanh quyết toán; nâng cao tính minh bạch, thống nhất trong áp dụng. </w:t>
      </w:r>
    </w:p>
    <w:p w14:paraId="3B13BECA" w14:textId="7DA68180" w:rsidR="000428A9" w:rsidRPr="00C25CA5" w:rsidRDefault="0038228C" w:rsidP="0026548A">
      <w:pPr>
        <w:tabs>
          <w:tab w:val="right" w:pos="7920"/>
        </w:tabs>
        <w:spacing w:after="100" w:line="254" w:lineRule="auto"/>
        <w:ind w:firstLine="720"/>
        <w:jc w:val="both"/>
        <w:rPr>
          <w:color w:val="auto"/>
        </w:rPr>
      </w:pPr>
      <w:r w:rsidRPr="00C25CA5">
        <w:rPr>
          <w:color w:val="auto"/>
        </w:rPr>
        <w:t xml:space="preserve">- </w:t>
      </w:r>
      <w:r w:rsidR="000428A9" w:rsidRPr="00C25CA5">
        <w:rPr>
          <w:color w:val="auto"/>
        </w:rPr>
        <w:t>Đối với phát triển kinh tế - xã hội:</w:t>
      </w:r>
      <w:r w:rsidRPr="00C25CA5">
        <w:rPr>
          <w:color w:val="auto"/>
        </w:rPr>
        <w:t xml:space="preserve"> </w:t>
      </w:r>
      <w:r w:rsidR="000428A9" w:rsidRPr="00C25CA5">
        <w:rPr>
          <w:color w:val="auto"/>
        </w:rPr>
        <w:t xml:space="preserve">Góp phần thúc đẩy phát triển sản xuất nông nghiệp theo hướng hiện đại, nâng cao hiệu quả sử dụng nguồn lực hỗ trợ của Nhà nước. </w:t>
      </w:r>
    </w:p>
    <w:p w14:paraId="1BD141BC" w14:textId="16C8BC05" w:rsidR="000428A9" w:rsidRPr="00C25CA5" w:rsidRDefault="000428A9" w:rsidP="0026548A">
      <w:pPr>
        <w:tabs>
          <w:tab w:val="right" w:pos="7920"/>
        </w:tabs>
        <w:spacing w:after="100" w:line="254" w:lineRule="auto"/>
        <w:ind w:firstLine="720"/>
        <w:jc w:val="both"/>
        <w:rPr>
          <w:color w:val="auto"/>
        </w:rPr>
      </w:pPr>
      <w:r w:rsidRPr="00C25CA5">
        <w:rPr>
          <w:b/>
          <w:bCs/>
          <w:color w:val="auto"/>
        </w:rPr>
        <w:t>2. Tác động cần lưu ý</w:t>
      </w:r>
      <w:r w:rsidR="0038228C" w:rsidRPr="00C25CA5">
        <w:rPr>
          <w:b/>
          <w:bCs/>
          <w:color w:val="auto"/>
        </w:rPr>
        <w:t>:</w:t>
      </w:r>
      <w:r w:rsidR="0038228C" w:rsidRPr="00C25CA5">
        <w:rPr>
          <w:color w:val="auto"/>
        </w:rPr>
        <w:t xml:space="preserve"> </w:t>
      </w:r>
      <w:r w:rsidRPr="00C25CA5">
        <w:rPr>
          <w:color w:val="auto"/>
        </w:rPr>
        <w:t xml:space="preserve">Việc điều chỉnh tăng định mức có thể làm tăng nhu cầu ngân sách hỗ trợ trong ngắn hạn; Cần theo dõi biến động chỉ số giá xây dựng để kịp thời điều chỉnh hệ số, bảo đảm phù hợp thực tế. </w:t>
      </w:r>
    </w:p>
    <w:p w14:paraId="7A9AC4F7" w14:textId="1BA75817" w:rsidR="000428A9" w:rsidRPr="00C25CA5" w:rsidRDefault="000428A9" w:rsidP="0026548A">
      <w:pPr>
        <w:tabs>
          <w:tab w:val="right" w:pos="7920"/>
        </w:tabs>
        <w:spacing w:after="100" w:line="254" w:lineRule="auto"/>
        <w:ind w:firstLine="720"/>
        <w:jc w:val="both"/>
        <w:rPr>
          <w:color w:val="auto"/>
        </w:rPr>
      </w:pPr>
      <w:r w:rsidRPr="00C25CA5">
        <w:rPr>
          <w:b/>
          <w:bCs/>
          <w:color w:val="auto"/>
        </w:rPr>
        <w:t>3. Đánh giá chung</w:t>
      </w:r>
      <w:r w:rsidR="0038228C" w:rsidRPr="00C25CA5">
        <w:rPr>
          <w:b/>
          <w:bCs/>
          <w:color w:val="auto"/>
        </w:rPr>
        <w:t>:</w:t>
      </w:r>
      <w:r w:rsidR="0038228C" w:rsidRPr="00C25CA5">
        <w:rPr>
          <w:color w:val="auto"/>
        </w:rPr>
        <w:t xml:space="preserve"> </w:t>
      </w:r>
      <w:r w:rsidRPr="00C25CA5">
        <w:rPr>
          <w:color w:val="auto"/>
        </w:rPr>
        <w:t>Dự thảo Quyết định có tác động tích cực, giúp định mức hỗ trợ sát thực tế, tăng khả năng thu hút doanh nghiệp đầu tư vào nông nghiệp, nông thôn. Quy định rõ ràng, minh bạch, không phát sinh thủ tục hành chính mới. Mặc dù có thể làm tăng nhu cầu ngân sách trong ngắn hạn, nhưng bảo đảm hiệu quả và tính khả thi khi triển khai.</w:t>
      </w:r>
    </w:p>
    <w:p w14:paraId="51C00C60" w14:textId="77777777" w:rsidR="00270D21" w:rsidRPr="00C25CA5" w:rsidRDefault="00270D21" w:rsidP="0026548A">
      <w:pPr>
        <w:tabs>
          <w:tab w:val="num" w:pos="0"/>
        </w:tabs>
        <w:spacing w:after="100" w:line="254" w:lineRule="auto"/>
        <w:ind w:firstLine="709"/>
        <w:jc w:val="both"/>
        <w:rPr>
          <w:b/>
          <w:bCs/>
          <w:color w:val="auto"/>
          <w:szCs w:val="28"/>
        </w:rPr>
      </w:pPr>
      <w:r w:rsidRPr="00C25CA5">
        <w:rPr>
          <w:b/>
          <w:bCs/>
          <w:color w:val="auto"/>
          <w:szCs w:val="28"/>
        </w:rPr>
        <w:t>V. KẾT LUẬN</w:t>
      </w:r>
    </w:p>
    <w:p w14:paraId="4FA7AE25" w14:textId="77777777" w:rsidR="00270D21" w:rsidRPr="00C25CA5" w:rsidRDefault="00270D21" w:rsidP="0026548A">
      <w:pPr>
        <w:tabs>
          <w:tab w:val="num" w:pos="0"/>
        </w:tabs>
        <w:spacing w:after="100" w:line="254" w:lineRule="auto"/>
        <w:ind w:firstLine="709"/>
        <w:jc w:val="both"/>
        <w:rPr>
          <w:color w:val="auto"/>
          <w:szCs w:val="28"/>
        </w:rPr>
      </w:pPr>
      <w:r w:rsidRPr="00C25CA5">
        <w:rPr>
          <w:color w:val="auto"/>
          <w:szCs w:val="28"/>
        </w:rPr>
        <w:t>Dự thảo Quyết định bảo đảm đầy đủ cơ sở pháp lý, phù hợp thực tiễn, có tính khả thi cao. Việc ban hành là cần thiết nhằm phục vụ công tác quản lý nhà nước và tổ chức cung ứng dịch vụ thoát nước trên địa bàn tỉnh.</w:t>
      </w:r>
    </w:p>
    <w:p w14:paraId="77E82D7B" w14:textId="77777777" w:rsidR="00C74A4C" w:rsidRPr="00C25CA5" w:rsidRDefault="00C74A4C" w:rsidP="00270D21">
      <w:pPr>
        <w:tabs>
          <w:tab w:val="num" w:pos="0"/>
        </w:tabs>
        <w:spacing w:before="120" w:after="120"/>
        <w:ind w:firstLine="709"/>
        <w:jc w:val="both"/>
        <w:rPr>
          <w:color w:val="auto"/>
          <w:szCs w:val="28"/>
        </w:rPr>
      </w:pPr>
    </w:p>
    <w:p w14:paraId="2CDF35D7" w14:textId="77777777" w:rsidR="00DC1849" w:rsidRPr="00C25CA5" w:rsidRDefault="00DC1849">
      <w:pPr>
        <w:rPr>
          <w:color w:val="auto"/>
        </w:rPr>
      </w:pPr>
    </w:p>
    <w:sectPr w:rsidR="00DC1849" w:rsidRPr="00C25CA5" w:rsidSect="0026548A">
      <w:pgSz w:w="11907" w:h="16840" w:code="9"/>
      <w:pgMar w:top="1134" w:right="1134" w:bottom="1134" w:left="1701" w:header="567" w:footer="397"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F4FAF"/>
    <w:multiLevelType w:val="multilevel"/>
    <w:tmpl w:val="52AC1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D95421"/>
    <w:multiLevelType w:val="multilevel"/>
    <w:tmpl w:val="7F02F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317D45"/>
    <w:multiLevelType w:val="multilevel"/>
    <w:tmpl w:val="0652D2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B33055"/>
    <w:multiLevelType w:val="multilevel"/>
    <w:tmpl w:val="B1D6D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1F4923"/>
    <w:multiLevelType w:val="multilevel"/>
    <w:tmpl w:val="14349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5304E0"/>
    <w:multiLevelType w:val="multilevel"/>
    <w:tmpl w:val="88F6BA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454F95"/>
    <w:multiLevelType w:val="multilevel"/>
    <w:tmpl w:val="8FB45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1A793A"/>
    <w:multiLevelType w:val="multilevel"/>
    <w:tmpl w:val="F6AA7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612EB1"/>
    <w:multiLevelType w:val="multilevel"/>
    <w:tmpl w:val="E9BE9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D713C9"/>
    <w:multiLevelType w:val="multilevel"/>
    <w:tmpl w:val="95D0D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7F4057"/>
    <w:multiLevelType w:val="multilevel"/>
    <w:tmpl w:val="03366C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65159D1"/>
    <w:multiLevelType w:val="multilevel"/>
    <w:tmpl w:val="C4B85B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F5E1A21"/>
    <w:multiLevelType w:val="multilevel"/>
    <w:tmpl w:val="11B0CE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6"/>
  </w:num>
  <w:num w:numId="3">
    <w:abstractNumId w:val="2"/>
  </w:num>
  <w:num w:numId="4">
    <w:abstractNumId w:val="1"/>
  </w:num>
  <w:num w:numId="5">
    <w:abstractNumId w:val="12"/>
  </w:num>
  <w:num w:numId="6">
    <w:abstractNumId w:val="10"/>
  </w:num>
  <w:num w:numId="7">
    <w:abstractNumId w:val="11"/>
  </w:num>
  <w:num w:numId="8">
    <w:abstractNumId w:val="5"/>
  </w:num>
  <w:num w:numId="9">
    <w:abstractNumId w:val="4"/>
  </w:num>
  <w:num w:numId="10">
    <w:abstractNumId w:val="7"/>
  </w:num>
  <w:num w:numId="11">
    <w:abstractNumId w:val="8"/>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drawingGridHorizontalSpacing w:val="140"/>
  <w:drawingGridVerticalSpacing w:val="381"/>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D21"/>
    <w:rsid w:val="000428A9"/>
    <w:rsid w:val="000766FA"/>
    <w:rsid w:val="000F2EBB"/>
    <w:rsid w:val="0026548A"/>
    <w:rsid w:val="00267E92"/>
    <w:rsid w:val="00270D21"/>
    <w:rsid w:val="002B278F"/>
    <w:rsid w:val="003173A5"/>
    <w:rsid w:val="0038228C"/>
    <w:rsid w:val="00451F0B"/>
    <w:rsid w:val="0046426A"/>
    <w:rsid w:val="004E31BA"/>
    <w:rsid w:val="004E77E2"/>
    <w:rsid w:val="004F615D"/>
    <w:rsid w:val="0050780D"/>
    <w:rsid w:val="00522DC7"/>
    <w:rsid w:val="005A39FE"/>
    <w:rsid w:val="005A732B"/>
    <w:rsid w:val="00603619"/>
    <w:rsid w:val="00732841"/>
    <w:rsid w:val="007E73CE"/>
    <w:rsid w:val="0088358F"/>
    <w:rsid w:val="008A71CE"/>
    <w:rsid w:val="008A7E8C"/>
    <w:rsid w:val="008C2538"/>
    <w:rsid w:val="009D38B7"/>
    <w:rsid w:val="00A3356F"/>
    <w:rsid w:val="00A86319"/>
    <w:rsid w:val="00AB7C6F"/>
    <w:rsid w:val="00C25CA5"/>
    <w:rsid w:val="00C74A4C"/>
    <w:rsid w:val="00DC1849"/>
    <w:rsid w:val="00F26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E3F48"/>
  <w15:chartTrackingRefBased/>
  <w15:docId w15:val="{F53CD8F6-E931-4378-AB74-1B6EA1A6C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FF0000"/>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0D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70D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70D21"/>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270D2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70D2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70D2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70D2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70D2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70D2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D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70D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70D21"/>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270D2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70D2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70D2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70D2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70D2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70D2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70D21"/>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270D21"/>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270D21"/>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270D2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270D21"/>
    <w:pPr>
      <w:spacing w:before="160"/>
      <w:jc w:val="center"/>
    </w:pPr>
    <w:rPr>
      <w:i/>
      <w:iCs/>
      <w:color w:val="404040" w:themeColor="text1" w:themeTint="BF"/>
    </w:rPr>
  </w:style>
  <w:style w:type="character" w:customStyle="1" w:styleId="QuoteChar">
    <w:name w:val="Quote Char"/>
    <w:basedOn w:val="DefaultParagraphFont"/>
    <w:link w:val="Quote"/>
    <w:uiPriority w:val="29"/>
    <w:rsid w:val="00270D21"/>
    <w:rPr>
      <w:i/>
      <w:iCs/>
      <w:color w:val="404040" w:themeColor="text1" w:themeTint="BF"/>
    </w:rPr>
  </w:style>
  <w:style w:type="paragraph" w:styleId="ListParagraph">
    <w:name w:val="List Paragraph"/>
    <w:basedOn w:val="Normal"/>
    <w:uiPriority w:val="34"/>
    <w:qFormat/>
    <w:rsid w:val="00270D21"/>
    <w:pPr>
      <w:ind w:left="720"/>
      <w:contextualSpacing/>
    </w:pPr>
  </w:style>
  <w:style w:type="character" w:styleId="IntenseEmphasis">
    <w:name w:val="Intense Emphasis"/>
    <w:basedOn w:val="DefaultParagraphFont"/>
    <w:uiPriority w:val="21"/>
    <w:qFormat/>
    <w:rsid w:val="00270D21"/>
    <w:rPr>
      <w:i/>
      <w:iCs/>
      <w:color w:val="2F5496" w:themeColor="accent1" w:themeShade="BF"/>
    </w:rPr>
  </w:style>
  <w:style w:type="paragraph" w:styleId="IntenseQuote">
    <w:name w:val="Intense Quote"/>
    <w:basedOn w:val="Normal"/>
    <w:next w:val="Normal"/>
    <w:link w:val="IntenseQuoteChar"/>
    <w:uiPriority w:val="30"/>
    <w:qFormat/>
    <w:rsid w:val="00270D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70D21"/>
    <w:rPr>
      <w:i/>
      <w:iCs/>
      <w:color w:val="2F5496" w:themeColor="accent1" w:themeShade="BF"/>
    </w:rPr>
  </w:style>
  <w:style w:type="character" w:styleId="IntenseReference">
    <w:name w:val="Intense Reference"/>
    <w:basedOn w:val="DefaultParagraphFont"/>
    <w:uiPriority w:val="32"/>
    <w:qFormat/>
    <w:rsid w:val="00270D21"/>
    <w:rPr>
      <w:b/>
      <w:bCs/>
      <w:smallCaps/>
      <w:color w:val="2F5496" w:themeColor="accent1" w:themeShade="BF"/>
      <w:spacing w:val="5"/>
    </w:rPr>
  </w:style>
  <w:style w:type="table" w:styleId="TableGrid">
    <w:name w:val="Table Grid"/>
    <w:basedOn w:val="TableNormal"/>
    <w:uiPriority w:val="39"/>
    <w:rsid w:val="00270D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8A71CE"/>
    <w:pPr>
      <w:spacing w:after="0" w:line="240" w:lineRule="auto"/>
    </w:pPr>
    <w:rPr>
      <w:rFonts w:eastAsia="Times New Roman"/>
      <w:color w:val="auto"/>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huvienphapluat.vn/van-ban/doanh-nghiep/nghi-dinh-57-2018-nd-cp-chinh-sach-khuyen-khich-doanh-nghiep-dau-tu-vao-nong-nghiep-nong-thon-351740.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uvienphapluat.vn/van-ban/doanh-nghiep/thong-tu-04-2018-tt-bkhdt-huong-dan-nghi-dinh-57-2018-nd-cp-khuyen-khich-dau-tu-nong-nghiep-401939.aspx" TargetMode="External"/><Relationship Id="rId5" Type="http://schemas.openxmlformats.org/officeDocument/2006/relationships/hyperlink" Target="https://thuvienphapluat.vn/van-ban/doanh-nghiep/nghi-dinh-57-2018-nd-cp-chinh-sach-khuyen-khich-doanh-nghiep-dau-tu-vao-nong-nghiep-nong-thon-351740.asp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4</Pages>
  <Words>1223</Words>
  <Characters>6972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dcterms:created xsi:type="dcterms:W3CDTF">2026-05-05T03:53:00Z</dcterms:created>
  <dcterms:modified xsi:type="dcterms:W3CDTF">2026-05-07T06:51:00Z</dcterms:modified>
</cp:coreProperties>
</file>